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25 September 2026</w:t>
      </w:r>
    </w:p>
    <w:p>
      <w:pPr>
        <w:spacing w:after="160"/>
      </w:pPr>
      <w:r>
        <w:t>Dear Editors of Neural Networks,</w:t>
      </w:r>
    </w:p>
    <w:p>
      <w:pPr>
        <w:spacing w:after="160"/>
      </w:pPr>
      <w:r>
        <w:t>Please consider our manuscript, "Recipe determinants of quantization fragility under image corruption: paired evidence and a regression-head localization in object detectors," for publication as a research article in Neural Networks.</w:t>
      </w:r>
    </w:p>
    <w:p>
      <w:pPr>
        <w:spacing w:after="160"/>
      </w:pPr>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Pr>
        <w:spacing w:after="160"/>
      </w:pPr>
      <w:r>
        <w:t>Three findings support the submission. First, under a frozen paired analysis of YOLO11n/m/x on KITTI, VOC, and a 2,000-image COCO subset, the interaction reverses sign across dataset-by-scale cells while FP8 exceeds INT8 on absolute AP in every block mean, so the corruption-induced change in the gap has no format-level ordering on this evidence. Second, a matched-recipe decomposition of RetinaNet localizes a severe INT8 collapse (-21.2 AP on KITTI) to regression-head quantization; excluding that head alone restores clean-competitive accuracy without retraining---the direction replicates on VOC while the 20-AP magnitude is a KITTI estimate that carries a disclosed development-contamination caveat.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with deployment cost explicitly left unevaluated.</w:t>
      </w:r>
    </w:p>
    <w:p>
      <w:pPr>
        <w:spacing w:after="160"/>
      </w:pPr>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accompany the submission as a hash-bound package and are deposited under the versioned concept DOI 10.5281/zenodo.22031663 (currently resolving to the prior CVIU-era release lineage; the present release mints on publication); raw datasets, checkpoints, built engines, and raw predictions are not redistributed, with their regeneration boundaries documented.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