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 The INT8-FP8 corruption interaction is heterogeneous and reverses sign.</w:t>
      </w:r>
    </w:p>
    <w:p>
      <w:r>
        <w:t>- All nine YOLO11 block means favor FP8 on AP; the gap change is unstable.</w:t>
      </w:r>
    </w:p>
    <w:p>
      <w:r>
        <w:t>- A -21.2-AP KITTI RetinaNet INT8 collapse localizes to the regression head.</w:t>
      </w:r>
    </w:p>
    <w:p>
      <w:r>
        <w:t>- Selective precision (reg-head FP32) recovers the collapse; a VOC residual remains.</w:t>
      </w:r>
    </w:p>
    <w:p>
      <w:r>
        <w:t>- Corruption-aware calibration's held-out benefit is sign-unstable by cell.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