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3 September 2026</w:t>
      </w:r>
    </w:p>
    <w:p>
      <w:pPr>
        <w:spacing w:after="160"/>
      </w:pPr>
      <w:r>
        <w:t>Dear Editors of Computer Vision and Image Understanding,</w:t>
      </w:r>
    </w:p>
    <w:p>
      <w:pPr>
        <w:spacing w:after="160"/>
      </w:pPr>
      <w:r>
        <w:t>Please consider our manuscript, “A Paired, Floor-Guarded Evaluation Protocol for INT8 and FP8 Object Detectors under Image Corruptions,” for publication as a research article in Computer Vision and Image Understanding.</w:t>
      </w:r>
    </w:p>
    <w:p>
      <w:pPr>
        <w:spacing w:after="160"/>
      </w:pPr>
      <w:r>
        <w:t>Reliable evaluation of a deployed vision system requires separating a performance difference already present on nominal images from a change associated with visual degradation. We address this measurement problem for executable INT8 and FP8 object detectors. Our byte-matched, image-paired four-cell protocol subtracts the matched-clean treatment gap from the corrupted-input gap within common-image bootstrap samples. The resulting quantity is an algebraic interaction contrast, not a causal estimator, and is interpreted only after clean fidelity and absolute corrupted accuracy have been checked.</w:t>
      </w:r>
    </w:p>
    <w:p>
      <w:pPr>
        <w:spacing w:after="160"/>
      </w:pPr>
      <w:r>
        <w:t>The exploratory grid contains 144 conditions across four datasets, three YOLO11 capacities, four synthetic corruptions, and three severities. We separately examine post-selection evaluation on final VOC/KITTI images excluded from checkpoint selection, interaction-scale and corruption-materialization sensitivities, training and calibration seeds, aggregation and class composition, matched engine runtime, and recipe-portability stress tests with RT-DETR and RetinaNet. Although the raw corrupted gap favors FP8 in 134 of 144 exploratory conditions, clean adjustment produces 56 point-estimate sign reversals; 17 adjusted intervals lie entirely below zero and 39 cross zero. FP8 outperforms INT8 by 1.40 matched-clean average-precision points on average, whereas the balanced adjusted interaction is -0.02 points in the broader grid and -0.55 points on the VOC/KITTI final holdouts. Absolute accuracy nevertheless decreases in 282 of 288 corrupted arms, demonstrating why scale-explicit interactions and remaining task performance must be reported together.</w:t>
      </w:r>
    </w:p>
    <w:p>
      <w:pPr>
        <w:spacing w:after="160"/>
      </w:pPr>
      <w:r>
        <w:t>The manuscript fits the journal’s focus on recognition and complete vision systems because its primary contribution is an auditable evaluation methodology under visual degradation, rather than a vendor-specific datatype leaderboard. The protocol generalizes to comparisons of quantizers, mixed-precision policies, compilers, calibration methods, and runtimes whenever a pre-existing clean difference can be confused with a degradation-specific effect.</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for release v2.1.0 are archived at DOI 10.5281/zenodo.22275640 under concept DOI 10.5281/zenodo.22031663.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