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Paired, codec-controlled protocol isolates the corruption interaction on AP gaps</w:t>
      </w:r>
    </w:p>
    <w:p>
      <w:pPr>
        <w:pStyle w:val="ListBullet"/>
        <w:spacing w:after="120"/>
      </w:pPr>
      <w:r>
        <w:t>The FP8-INT8 gap change under corruption flips sign across YOLO11 blocks</w:t>
      </w:r>
    </w:p>
    <w:p>
      <w:pPr>
        <w:pStyle w:val="ListBullet"/>
        <w:spacing w:after="120"/>
      </w:pPr>
      <w:r>
        <w:t>RetinaNet INT8 deficit traces to regression head activation quantization</w:t>
      </w:r>
    </w:p>
    <w:p>
      <w:pPr>
        <w:pStyle w:val="ListBullet"/>
        <w:spacing w:after="120"/>
      </w:pPr>
      <w:r>
        <w:t>Head exclusion recovers INT8 AP; replicated on a KITTI holdout and COCO models</w:t>
      </w:r>
    </w:p>
    <w:p>
      <w:pPr>
        <w:pStyle w:val="ListBullet"/>
        <w:spacing w:after="120"/>
      </w:pPr>
      <w:r>
        <w:t>Corruption-aware calibration transfers inconsistently across held-out families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Thuan Nguyen</dc:creator>
  <cp:keywords/>
  <dc:description>Generated deterministically from the checked plain-text submission source.</dc:description>
  <cp:lastModifiedBy>Dinh Thuan Nguyen</cp:lastModifiedBy>
  <cp:revision>1</cp:revision>
  <dcterms:created xsi:type="dcterms:W3CDTF">2026-09-03T08:00:00Z</dcterms:created>
  <dcterms:modified xsi:type="dcterms:W3CDTF">2026-09-03T08:00:00Z</dcterms:modified>
  <cp:category/>
</cp:coreProperties>
</file>