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Paired evaluation separates clean fidelity from corruption sensitivity.</w:t>
      </w:r>
    </w:p>
    <w:p>
      <w:pPr>
        <w:pStyle w:val="ListBullet"/>
      </w:pPr>
      <w:r>
        <w:t>Higher corrupted accuracy can coexist with a contracting clean advantage.</w:t>
      </w:r>
    </w:p>
    <w:p>
      <w:pPr>
        <w:pStyle w:val="ListBullet"/>
      </w:pPr>
      <w:r>
        <w:t>Clean adjustment yields a -0.55 AP interaction on final VOC/KITTI.</w:t>
      </w:r>
    </w:p>
    <w:p>
      <w:pPr>
        <w:pStyle w:val="ListBullet"/>
      </w:pPr>
      <w:r>
        <w:t>Shared-image bootstrap preserves covariance across four accuracy arms.</w:t>
      </w:r>
    </w:p>
    <w:p>
      <w:pPr>
        <w:pStyle w:val="ListBullet"/>
      </w:pPr>
      <w:r>
        <w:t>Quantized treatments are audited as executable pipelines, not datatype labels.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