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Highlights</w:t>
      </w:r>
    </w:p>
    <w:p>
      <w:pPr>
        <w:pStyle w:val="ListBullet"/>
        <w:spacing w:after="120"/>
      </w:pPr>
      <w:r>
        <w:t>Paired evaluation separates clean gaps from corruption-specific changes.</w:t>
      </w:r>
    </w:p>
    <w:p>
      <w:pPr>
        <w:pStyle w:val="ListBullet"/>
        <w:spacing w:after="120"/>
      </w:pPr>
      <w:r>
        <w:t>Shared-image resampling preserves dependence across four evaluation arms.</w:t>
      </w:r>
    </w:p>
    <w:p>
      <w:pPr>
        <w:pStyle w:val="ListBullet"/>
        <w:spacing w:after="120"/>
      </w:pPr>
      <w:r>
        <w:t>Clean adjustment produces 56 point-estimate sign reversals in 144 cells.</w:t>
      </w:r>
    </w:p>
    <w:p>
      <w:pPr>
        <w:pStyle w:val="ListBullet"/>
        <w:spacing w:after="120"/>
      </w:pPr>
      <w:r>
        <w:t>Absolute AP guards against robustness claims near a shared accuracy floor.</w:t>
      </w:r>
    </w:p>
    <w:p>
      <w:pPr>
        <w:pStyle w:val="ListBullet"/>
        <w:spacing w:after="120"/>
      </w:pPr>
      <w:r>
        <w:t>Stress tests reveal dependence on quantization recipe and architecture.</w:t>
      </w:r>
    </w:p>
    <w:sectPr w:rsidR="00FC693F" w:rsidRPr="0006063C" w:rsidSect="00034616">
      <w:pgSz w:w="11906" w:h="16838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Dinh Thuan Nguyen</dc:creator>
  <cp:keywords/>
  <dc:description>Generated deterministically from the checked plain-text submission source.</dc:description>
  <cp:lastModifiedBy>Dinh Thuan Nguyen</cp:lastModifiedBy>
  <cp:revision>1</cp:revision>
  <dcterms:created xsi:type="dcterms:W3CDTF">2026-09-03T08:00:00Z</dcterms:created>
  <dcterms:modified xsi:type="dcterms:W3CDTF">2026-09-03T08:00:00Z</dcterms:modified>
  <cp:category/>
</cp:coreProperties>
</file>