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>Paired, codec-controlled protocol isolates corruption effects on quantization gaps</w:t>
      </w:r>
    </w:p>
    <w:p>
      <w:pPr>
        <w:pStyle w:val="PreformattedText"/>
        <w:bidi w:val="0"/>
        <w:spacing w:before="0" w:after="0"/>
        <w:jc w:val="left"/>
        <w:rPr/>
      </w:pPr>
      <w:r>
        <w:rPr/>
        <w:t>The FP8-INT8 gap change under corruption flips sign across YOLO11 blocks</w:t>
      </w:r>
    </w:p>
    <w:p>
      <w:pPr>
        <w:pStyle w:val="PreformattedText"/>
        <w:bidi w:val="0"/>
        <w:spacing w:before="0" w:after="0"/>
        <w:jc w:val="left"/>
        <w:rPr/>
      </w:pPr>
      <w:r>
        <w:rPr/>
        <w:t>RetinaNet INT8 deficit traces to regression-head activation quantization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Keeping the regression head in floating point restores accuracy, no retraining</w:t>
      </w:r>
    </w:p>
    <w:p>
      <w:pPr>
        <w:pStyle w:val="PreformattedText"/>
        <w:bidi w:val="0"/>
        <w:spacing w:before="0" w:after="0"/>
        <w:jc w:val="left"/>
        <w:rPr/>
      </w:pPr>
      <w:r>
        <w:rPr/>
        <w:t>Corruption-aware calibration transfers inconsistently across held-out folds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