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Highlights</w:t>
      </w:r>
    </w:p>
    <w:p>
      <w:pPr>
        <w:pStyle w:val="ListBullet"/>
        <w:spacing w:after="120"/>
      </w:pPr>
      <w:r>
        <w:t>The INT8-FP8 corruption interaction is heterogeneous and reverses sign.</w:t>
      </w:r>
    </w:p>
    <w:p>
      <w:pPr>
        <w:pStyle w:val="ListBullet"/>
        <w:spacing w:after="120"/>
      </w:pPr>
      <w:r>
        <w:t>Corruption robustness depends on recipe and context, not the format label.</w:t>
      </w:r>
    </w:p>
    <w:p>
      <w:pPr>
        <w:pStyle w:val="ListBullet"/>
        <w:spacing w:after="120"/>
      </w:pPr>
      <w:r>
        <w:t>A -21.2-AP RetinaNet INT8 collapse localizes to regression-head quantization.</w:t>
      </w:r>
    </w:p>
    <w:p>
      <w:pPr>
        <w:pStyle w:val="ListBullet"/>
        <w:spacing w:after="120"/>
      </w:pPr>
      <w:r>
        <w:t>Selective precision (reg-head FP32) recovers the collapse; a VOC residual remains.</w:t>
      </w:r>
    </w:p>
    <w:p>
      <w:pPr>
        <w:pStyle w:val="ListBullet"/>
        <w:spacing w:after="120"/>
      </w:pPr>
      <w:r>
        <w:t>Corruption-aware calibration's held-out effect reverses sign across folds.</w:t>
      </w:r>
    </w:p>
    <w:sectPr w:rsidR="00FC693F" w:rsidRPr="0006063C" w:rsidSect="00034616">
      <w:pgSz w:w="11906" w:h="16838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Dinh Thuan Nguyen</dc:creator>
  <cp:keywords/>
  <dc:description>Generated deterministically from the checked plain-text submission source.</dc:description>
  <cp:lastModifiedBy>Dinh Thuan Nguyen</cp:lastModifiedBy>
  <cp:revision>1</cp:revision>
  <dcterms:created xsi:type="dcterms:W3CDTF">2026-09-03T08:00:00Z</dcterms:created>
  <dcterms:modified xsi:type="dcterms:W3CDTF">2026-09-03T08:00:00Z</dcterms:modified>
  <cp:category/>
</cp:coreProperties>
</file>