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C8C8C8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C8C8C8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C8C8C8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C8C8C8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C8C8C8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C8C8C8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C8C8C8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C8C8C8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C8C8C8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C8C8C8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C8C8C8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C8C8C8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C8C8C8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C8C8C8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C8C8C8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C8C8C8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C8C8C8"/>
        </w:rPr>
        <w:tab/>
        <w:t>CH.02 — USAGE TIPS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C8C8C8"/>
        </w:rPr>
        <w:tab/>
        <w:t>CH.03 — STRUCTURE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C8C8C8"/>
        </w:rPr>
        <w:tab/>
        <w:t>CH.04 — FEATURES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C8C8C8"/>
        </w:rPr>
        <w:tab/>
        <w:t>CH.05 — SPECIFICATIONS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C8C8C8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C8C8C8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C8C8C8"/>
        </w:rPr>
        <w:tab/>
        <w:t>CH.07 — TROUBLESHOOTING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C8C8C8"/>
        </w:rPr>
        <w:tab/>
        <w:t>CH.08 — MAINTENANCE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C8C8C8"/>
        </w:rPr>
        <w:tab/>
        <w:t>CH.09 — INSTALLATION / STORAGE / DISPOSAL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C8C8C8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C8C8C8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