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701"/>
        <w:tblLook w:firstColumn="1" w:firstRow="1" w:lastColumn="0" w:lastRow="0" w:noHBand="0" w:noVBand="1" w:val="04A0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40"/>
            <w:tcMar>
              <w:top w:w="115" w:type="dxa"/>
              <w:start w:w="0" w:type="dxa"/>
              <w:bottom w:w="0" w:type="dxa"/>
              <w:end w:w="35" w:type="dxa"/>
            </w:tcMar>
            <w:tcBorders>
              <w:left w:val="nil"/>
              <w:right w:val="nil"/>
              <w:bottom w:val="nil"/>
              <w:top w:val="single" w:sz="12" w:space="0" w:color="E63946"/>
            </w:tcBorders>
          </w:tcPr>
          <w:p/>
        </w:tc>
        <w:tc>
          <w:tcPr>
            <w:tcW w:type="dxa" w:w="1360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r>
              <w:rPr>
                <w:rFonts w:ascii="Arial Black" w:hAnsi="Arial Black" w:cs="Arial Black" w:eastAsia="Microsoft YaHei"/>
                <w:b/>
                <w:sz w:val="15"/>
                <w:color w:val="000000"/>
              </w:rPr>
              <w:t>威富可</w:t>
            </w:r>
          </w:p>
        </w:tc>
      </w:tr>
    </w:tbl>
    <w:p>
      <w:pPr>
        <w:spacing w:after="1360"/>
      </w:pP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