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00820" w14:textId="77777777" w:rsidR="00C86E6B" w:rsidRPr="00475CAA" w:rsidRDefault="00005441" w:rsidP="00B418A9">
      <w:pPr>
        <w:pStyle w:val="Heading1"/>
      </w:pPr>
      <w:r>
        <w:t>On the Role of Scorers in Curbing Examination Malpractices</w:t>
      </w:r>
    </w:p>
    <w:p w14:paraId="11E47F88" w14:textId="77777777" w:rsidR="009453FF" w:rsidRDefault="009453FF" w:rsidP="009453FF">
      <w:pPr>
        <w:spacing w:line="240" w:lineRule="auto"/>
      </w:pPr>
    </w:p>
    <w:p w14:paraId="05FD37F6" w14:textId="77777777" w:rsidR="009453FF" w:rsidRPr="000770BE" w:rsidRDefault="00B418A9" w:rsidP="000D7187">
      <w:pPr>
        <w:spacing w:line="240" w:lineRule="auto"/>
        <w:jc w:val="center"/>
        <w:rPr>
          <w:rFonts w:cs="Kokila"/>
          <w:szCs w:val="21"/>
          <w:lang w:bidi="ne-NP"/>
        </w:rPr>
      </w:pPr>
      <w:r w:rsidRPr="000770BE">
        <w:t>Netra Prasad Sharma</w:t>
      </w:r>
      <w:r w:rsidR="009453FF" w:rsidRPr="000770BE">
        <w:rPr>
          <w:rStyle w:val="FootnoteReference"/>
        </w:rPr>
        <w:footnoteReference w:id="1"/>
      </w:r>
      <w:r w:rsidR="009453FF" w:rsidRPr="000770BE">
        <w:t xml:space="preserve"> &amp;</w:t>
      </w:r>
      <w:r w:rsidR="000D7187" w:rsidRPr="000770BE">
        <w:t xml:space="preserve"> </w:t>
      </w:r>
      <w:r w:rsidR="009453FF" w:rsidRPr="000770BE">
        <w:rPr>
          <w:rFonts w:cs="Kokila"/>
          <w:szCs w:val="21"/>
          <w:lang w:bidi="ne-NP"/>
        </w:rPr>
        <w:t>Kamal Kumar Poudel</w:t>
      </w:r>
      <w:r w:rsidR="009453FF" w:rsidRPr="000770BE">
        <w:rPr>
          <w:rStyle w:val="FootnoteReference"/>
          <w:rFonts w:cs="Kokila"/>
          <w:szCs w:val="21"/>
          <w:lang w:bidi="ne-NP"/>
        </w:rPr>
        <w:footnoteReference w:id="2"/>
      </w:r>
    </w:p>
    <w:p w14:paraId="5E588AA4" w14:textId="77777777" w:rsidR="00B418A9" w:rsidRPr="000770BE" w:rsidRDefault="00B418A9" w:rsidP="009453FF">
      <w:pPr>
        <w:spacing w:line="240" w:lineRule="auto"/>
        <w:ind w:firstLine="0"/>
      </w:pPr>
    </w:p>
    <w:p w14:paraId="05CBB137" w14:textId="77777777" w:rsidR="009453FF" w:rsidRPr="000770BE" w:rsidRDefault="009453FF" w:rsidP="009453FF">
      <w:pPr>
        <w:spacing w:line="240" w:lineRule="auto"/>
        <w:ind w:firstLine="0"/>
      </w:pPr>
      <w:r w:rsidRPr="000770BE">
        <w:t>Department of English Education, T. U. Mahendra Ratna Campus, Tahachal, Kathmandu</w:t>
      </w:r>
    </w:p>
    <w:p w14:paraId="725A3337" w14:textId="77777777" w:rsidR="00890319" w:rsidRDefault="00B418A9" w:rsidP="0003294E">
      <w:pPr>
        <w:pStyle w:val="Heading2"/>
      </w:pPr>
      <w:r>
        <w:t>Abstract</w:t>
      </w:r>
    </w:p>
    <w:p w14:paraId="096BB394" w14:textId="77777777" w:rsidR="00683F1E" w:rsidRPr="00614481" w:rsidRDefault="00683F1E" w:rsidP="0003294E">
      <w:pPr>
        <w:pStyle w:val="BodyText"/>
      </w:pPr>
      <w:r w:rsidRPr="00614481">
        <w:t>Examination ma</w:t>
      </w:r>
      <w:r w:rsidR="0096601C" w:rsidRPr="00614481">
        <w:t xml:space="preserve">lpractices as a </w:t>
      </w:r>
      <w:r w:rsidRPr="00614481">
        <w:t>phenomenon</w:t>
      </w:r>
      <w:r w:rsidR="0096601C" w:rsidRPr="00614481">
        <w:t xml:space="preserve"> cross the boundaries set by time and geography and are often an issue </w:t>
      </w:r>
      <w:r w:rsidR="0092232C" w:rsidRPr="00614481">
        <w:t>in Nepal</w:t>
      </w:r>
      <w:r w:rsidR="000B700A" w:rsidRPr="00614481">
        <w:t xml:space="preserve"> as well</w:t>
      </w:r>
      <w:r w:rsidR="0092232C" w:rsidRPr="00614481">
        <w:t xml:space="preserve"> </w:t>
      </w:r>
      <w:r w:rsidR="0096601C" w:rsidRPr="00614481">
        <w:t>generating a conside</w:t>
      </w:r>
      <w:r w:rsidR="000B700A" w:rsidRPr="00614481">
        <w:t>rable amount of discourse among</w:t>
      </w:r>
      <w:r w:rsidR="0096601C" w:rsidRPr="00614481">
        <w:t xml:space="preserve">st </w:t>
      </w:r>
      <w:r w:rsidR="0092232C" w:rsidRPr="00614481">
        <w:t>students,</w:t>
      </w:r>
      <w:r w:rsidR="0086267A" w:rsidRPr="00614481">
        <w:t xml:space="preserve"> teachers,</w:t>
      </w:r>
      <w:r w:rsidR="0000136D" w:rsidRPr="00614481">
        <w:t xml:space="preserve"> parents and</w:t>
      </w:r>
      <w:r w:rsidR="0092232C" w:rsidRPr="00614481">
        <w:t xml:space="preserve"> all the concerned.</w:t>
      </w:r>
      <w:r w:rsidRPr="00614481">
        <w:t xml:space="preserve"> </w:t>
      </w:r>
      <w:r w:rsidR="008E4AB9" w:rsidRPr="00614481">
        <w:t>In</w:t>
      </w:r>
      <w:r w:rsidR="00253129" w:rsidRPr="00614481">
        <w:t xml:space="preserve"> theory, </w:t>
      </w:r>
      <w:r w:rsidR="008E4AB9" w:rsidRPr="00614481">
        <w:t>subjecti</w:t>
      </w:r>
      <w:r w:rsidR="00253129" w:rsidRPr="00614481">
        <w:t>ve testing</w:t>
      </w:r>
      <w:r w:rsidR="00FD7E4C" w:rsidRPr="00614481">
        <w:t xml:space="preserve"> </w:t>
      </w:r>
      <w:r w:rsidR="00B5296B">
        <w:t>does allow</w:t>
      </w:r>
      <w:r w:rsidR="00253129" w:rsidRPr="00614481">
        <w:t xml:space="preserve"> scorers the room for the play of their personal judgement. Nonetheless, </w:t>
      </w:r>
      <w:r w:rsidR="00FD7E4C" w:rsidRPr="00614481">
        <w:t xml:space="preserve">a thread of argument prevails in the Nepalese academic circle, the argument attempting to curtail the </w:t>
      </w:r>
      <w:r w:rsidR="009D3D56" w:rsidRPr="00614481">
        <w:t>judgement of s</w:t>
      </w:r>
      <w:r w:rsidR="00A02CD6">
        <w:t>corers stating that scorers are obliged</w:t>
      </w:r>
      <w:r w:rsidR="009D3D56" w:rsidRPr="00614481">
        <w:t xml:space="preserve"> to award scores for what answer sheets contain and that they lack any right to judge whether or not the examinee performances might be the result of one or the other kind of malpractices</w:t>
      </w:r>
      <w:r w:rsidR="00D13858" w:rsidRPr="00614481">
        <w:t xml:space="preserve"> that are also the product of the dereliction of invigilators and other test administration staff</w:t>
      </w:r>
      <w:r w:rsidR="0051180F" w:rsidRPr="00614481">
        <w:t xml:space="preserve"> responsible for overseeing the performance of examinees</w:t>
      </w:r>
      <w:r w:rsidR="009D3D56" w:rsidRPr="00614481">
        <w:t xml:space="preserve">. </w:t>
      </w:r>
      <w:r w:rsidR="0086267A" w:rsidRPr="00614481">
        <w:t xml:space="preserve">This </w:t>
      </w:r>
      <w:r w:rsidR="00A02D88" w:rsidRPr="00614481">
        <w:t xml:space="preserve">paper </w:t>
      </w:r>
      <w:r w:rsidR="009D3D56" w:rsidRPr="00614481">
        <w:t xml:space="preserve">follows this argument and </w:t>
      </w:r>
      <w:r w:rsidR="00A02D88" w:rsidRPr="00614481">
        <w:t xml:space="preserve">endeavors to </w:t>
      </w:r>
      <w:r w:rsidR="0051180F" w:rsidRPr="00614481">
        <w:t xml:space="preserve">supply evidence </w:t>
      </w:r>
      <w:r w:rsidR="00E90335" w:rsidRPr="00614481">
        <w:t>for reinforcing the counter-argument that stands equally strong – the argument advocating the scorer right to judge and treat any malpractices evident in examinee performa</w:t>
      </w:r>
      <w:r w:rsidR="00504F64" w:rsidRPr="00614481">
        <w:t>nces. This right is conceived as one of the effective measures to curb examinee malpractices.</w:t>
      </w:r>
      <w:r w:rsidR="0051180F" w:rsidRPr="00614481">
        <w:t xml:space="preserve"> </w:t>
      </w:r>
      <w:r w:rsidR="00AF60FC" w:rsidRPr="00614481">
        <w:t xml:space="preserve">For this, it supplies the </w:t>
      </w:r>
      <w:r w:rsidR="0086267A" w:rsidRPr="00614481">
        <w:t xml:space="preserve">justification </w:t>
      </w:r>
      <w:r w:rsidR="00A02D88" w:rsidRPr="00614481">
        <w:t xml:space="preserve">for the </w:t>
      </w:r>
      <w:r w:rsidR="00AF60FC" w:rsidRPr="00614481">
        <w:t xml:space="preserve">exercise of </w:t>
      </w:r>
      <w:r w:rsidR="00AF4038" w:rsidRPr="00614481">
        <w:t xml:space="preserve">scorer </w:t>
      </w:r>
      <w:r w:rsidR="00A02D88" w:rsidRPr="00614481">
        <w:t>right</w:t>
      </w:r>
      <w:r w:rsidR="00AF4038" w:rsidRPr="00614481">
        <w:t xml:space="preserve">, if </w:t>
      </w:r>
      <w:r w:rsidR="00E37D0D" w:rsidRPr="00614481">
        <w:t xml:space="preserve">formally </w:t>
      </w:r>
      <w:r w:rsidR="008E4AB9" w:rsidRPr="00614481">
        <w:t xml:space="preserve">and explicitly </w:t>
      </w:r>
      <w:r w:rsidR="00AF4038" w:rsidRPr="00614481">
        <w:t>conferred</w:t>
      </w:r>
      <w:r w:rsidR="00E37D0D" w:rsidRPr="00614481">
        <w:t xml:space="preserve"> on scorers</w:t>
      </w:r>
      <w:r w:rsidR="00AF4038" w:rsidRPr="00614481">
        <w:t xml:space="preserve">, to </w:t>
      </w:r>
      <w:r w:rsidR="00E37D0D" w:rsidRPr="00614481">
        <w:t>treat the instances of examinee malpractices that are evident in the answer sheets of examinees</w:t>
      </w:r>
      <w:r w:rsidR="00504F64" w:rsidRPr="00614481">
        <w:t>.</w:t>
      </w:r>
    </w:p>
    <w:p w14:paraId="03D4EC24" w14:textId="6244EA9F" w:rsidR="00AC24A6" w:rsidRDefault="00AC24A6" w:rsidP="0003294E">
      <w:pPr>
        <w:ind w:firstLine="0"/>
      </w:pPr>
      <w:r w:rsidRPr="009234D8">
        <w:rPr>
          <w:b/>
        </w:rPr>
        <w:t>Keywords</w:t>
      </w:r>
      <w:r w:rsidR="000770BE">
        <w:t>: r</w:t>
      </w:r>
      <w:r>
        <w:t>ole of sc</w:t>
      </w:r>
      <w:r w:rsidR="000D7187">
        <w:t>orers, e</w:t>
      </w:r>
      <w:r w:rsidR="000770BE">
        <w:t>xamination malpractice</w:t>
      </w:r>
      <w:r w:rsidR="008764C6">
        <w:t xml:space="preserve">, </w:t>
      </w:r>
      <w:r w:rsidR="000770BE">
        <w:t xml:space="preserve">Tribhuvan University, </w:t>
      </w:r>
      <w:r w:rsidR="008764C6">
        <w:t>examinee behaviour, s</w:t>
      </w:r>
      <w:r w:rsidR="00807BB6">
        <w:t>coring rubrics</w:t>
      </w:r>
    </w:p>
    <w:p w14:paraId="1A73DD79" w14:textId="77777777" w:rsidR="009234D8" w:rsidRDefault="009234D8" w:rsidP="0003294E">
      <w:pPr>
        <w:pStyle w:val="Heading2"/>
      </w:pPr>
      <w:r>
        <w:lastRenderedPageBreak/>
        <w:t>Context</w:t>
      </w:r>
    </w:p>
    <w:p w14:paraId="6A042DDE" w14:textId="77777777" w:rsidR="009234D8" w:rsidRDefault="009234D8" w:rsidP="0003294E">
      <w:r>
        <w:t xml:space="preserve">Examination malpractices </w:t>
      </w:r>
      <w:r w:rsidR="00E65173">
        <w:t xml:space="preserve">taken as a common phenomenon, not </w:t>
      </w:r>
      <w:r w:rsidR="0096207F">
        <w:t xml:space="preserve">to be conceived as </w:t>
      </w:r>
      <w:r w:rsidR="00E65173">
        <w:t>a natural one though, often generate a considerable amount of discourse in the Nepalese context as well. One of the issues on which such discourse takes place is the scorer right to treat the exa</w:t>
      </w:r>
      <w:r w:rsidR="00FA0EA9">
        <w:t>mination malpractices that are manifest</w:t>
      </w:r>
      <w:r w:rsidR="00E65173">
        <w:t xml:space="preserve"> in the written responses of students. </w:t>
      </w:r>
      <w:r w:rsidR="006E5B9A">
        <w:t>Often, two lines of argument</w:t>
      </w:r>
      <w:r w:rsidR="00B11203">
        <w:t xml:space="preserve"> </w:t>
      </w:r>
      <w:r w:rsidR="00BB5532">
        <w:t>are encountered regarding this. T</w:t>
      </w:r>
      <w:r w:rsidR="006E5B9A">
        <w:t xml:space="preserve">he </w:t>
      </w:r>
      <w:r w:rsidR="00BB5532">
        <w:t xml:space="preserve">first argument </w:t>
      </w:r>
      <w:r w:rsidR="00B11203">
        <w:t xml:space="preserve">asserts that </w:t>
      </w:r>
      <w:r w:rsidR="006E5B9A">
        <w:t>scorers lack any right to judge whether or not the wr</w:t>
      </w:r>
      <w:r w:rsidR="00B11203">
        <w:t>it</w:t>
      </w:r>
      <w:r w:rsidR="00BB5532">
        <w:t>ten responses of students is</w:t>
      </w:r>
      <w:r w:rsidR="00B11203">
        <w:t xml:space="preserve"> characterized by the malpractices of different sorts and different degrees and, therefore, they should award scores for whatever appears in the answer sheets</w:t>
      </w:r>
      <w:r w:rsidR="00BB5532">
        <w:t xml:space="preserve">. Advocates of this line of argument hold that the responsibility of overseeing and curbing examinee malpractices is that of invigilators and other </w:t>
      </w:r>
      <w:r w:rsidR="00937CFD">
        <w:t xml:space="preserve">test administration staff. The second is </w:t>
      </w:r>
      <w:r w:rsidR="00D25FAD">
        <w:t>the counter-argument that advocates the right to treat the clear instances of malpractices.</w:t>
      </w:r>
      <w:r w:rsidR="00063D97">
        <w:t xml:space="preserve"> Whatever the arguments, it is generally agreed upon that examination malpractices are to be curbed at a</w:t>
      </w:r>
      <w:r w:rsidR="00B1134B">
        <w:t>ll costs for the benefit of all including the examinees themselves.</w:t>
      </w:r>
    </w:p>
    <w:p w14:paraId="3D607F5B" w14:textId="77777777" w:rsidR="0096207F" w:rsidRDefault="0096207F" w:rsidP="0003294E">
      <w:pPr>
        <w:pStyle w:val="Heading2"/>
      </w:pPr>
      <w:r>
        <w:t>Examination Malpractices</w:t>
      </w:r>
      <w:r w:rsidR="0062757F" w:rsidRPr="0062757F">
        <w:rPr>
          <w:rFonts w:eastAsiaTheme="minorHAnsi" w:cs="Times New Roman"/>
          <w:bCs/>
          <w:i/>
          <w:iCs/>
          <w:sz w:val="21"/>
          <w:szCs w:val="21"/>
        </w:rPr>
        <w:t xml:space="preserve"> </w:t>
      </w:r>
    </w:p>
    <w:p w14:paraId="3A029A81" w14:textId="77777777" w:rsidR="00FE3C20" w:rsidRDefault="0096207F" w:rsidP="0003294E">
      <w:r>
        <w:t xml:space="preserve">Examination malpractices </w:t>
      </w:r>
      <w:r w:rsidR="007F1AD7">
        <w:t>often conceived to be “widespread” and “epidemic” in higher education (Imran &amp; Ayobami, 2011)</w:t>
      </w:r>
      <w:r w:rsidR="00B64349">
        <w:t xml:space="preserve"> </w:t>
      </w:r>
      <w:r w:rsidR="005630E5">
        <w:t>are also taken synonymously with cheating and academic dishonesty. Fulcher and Davidson’s (2007</w:t>
      </w:r>
      <w:r w:rsidR="00306716">
        <w:t>, p. 133</w:t>
      </w:r>
      <w:r w:rsidR="005630E5">
        <w:t>)</w:t>
      </w:r>
      <w:r w:rsidR="00306716">
        <w:t xml:space="preserve"> assertion that </w:t>
      </w:r>
      <w:r w:rsidR="00960078">
        <w:t xml:space="preserve">“high-stakes testing, as </w:t>
      </w:r>
      <w:r w:rsidR="00960078" w:rsidRPr="00960078">
        <w:t>it has come to be known, will always be the target for attempts to cheat</w:t>
      </w:r>
      <w:r w:rsidR="00960078">
        <w:t>”</w:t>
      </w:r>
      <w:r w:rsidR="00B64349">
        <w:t xml:space="preserve"> </w:t>
      </w:r>
      <w:r w:rsidR="00306716">
        <w:t>emits an impression that cheating is a natural occurrence in the summative type of examinations with high stakes</w:t>
      </w:r>
      <w:r w:rsidR="0097359A">
        <w:t xml:space="preserve"> such as the university examinations</w:t>
      </w:r>
      <w:r w:rsidR="000043DE">
        <w:t xml:space="preserve"> – the ph</w:t>
      </w:r>
      <w:r w:rsidR="00DB7C3A">
        <w:t xml:space="preserve">enomenon being common worldwide, </w:t>
      </w:r>
      <w:r w:rsidR="000043DE">
        <w:t xml:space="preserve">the </w:t>
      </w:r>
      <w:r w:rsidR="0097359A">
        <w:t>Nepalese context</w:t>
      </w:r>
      <w:r w:rsidR="000043DE">
        <w:t xml:space="preserve"> obviously not an exception</w:t>
      </w:r>
      <w:r w:rsidR="00960078">
        <w:t xml:space="preserve">. </w:t>
      </w:r>
      <w:r w:rsidR="00306716">
        <w:t xml:space="preserve">It is </w:t>
      </w:r>
      <w:r w:rsidR="00960078">
        <w:t xml:space="preserve">usually taken to be any individual or institutional fraudulent activities </w:t>
      </w:r>
      <w:r w:rsidR="004E7D80">
        <w:t>that are intended to inflate or deflate the scores of examinees</w:t>
      </w:r>
      <w:r w:rsidR="0090271A">
        <w:t xml:space="preserve"> (</w:t>
      </w:r>
      <w:r w:rsidR="006553FB">
        <w:t xml:space="preserve">Anzene, 2014; </w:t>
      </w:r>
      <w:r w:rsidR="0090271A" w:rsidRPr="006553FB">
        <w:t>Fulcher &amp; Davidson, 2007</w:t>
      </w:r>
      <w:r w:rsidR="005630E5" w:rsidRPr="006553FB">
        <w:t>)</w:t>
      </w:r>
      <w:r w:rsidR="003774A0" w:rsidRPr="006553FB">
        <w:t>.</w:t>
      </w:r>
      <w:r w:rsidR="005630E5">
        <w:t xml:space="preserve"> </w:t>
      </w:r>
      <w:r w:rsidR="00FE3C20">
        <w:t>“</w:t>
      </w:r>
      <w:r w:rsidR="00747AC4">
        <w:t xml:space="preserve">In general, </w:t>
      </w:r>
      <w:r w:rsidR="00FE3C20" w:rsidRPr="00FE3C20">
        <w:t>cheating is described as any of a variety of unethical</w:t>
      </w:r>
      <w:r w:rsidR="00FE3C20">
        <w:t xml:space="preserve"> behaviors” </w:t>
      </w:r>
      <w:r w:rsidR="00FE3C20" w:rsidRPr="00FE3C20">
        <w:t>(</w:t>
      </w:r>
      <w:r w:rsidR="00FE3C20">
        <w:t xml:space="preserve">Kaufman, 2008, </w:t>
      </w:r>
      <w:r w:rsidR="00FE3C20" w:rsidRPr="00FE3C20">
        <w:t>p. 1)</w:t>
      </w:r>
      <w:r w:rsidR="004A594E">
        <w:t>.</w:t>
      </w:r>
      <w:r w:rsidR="00E331E1">
        <w:t xml:space="preserve"> The point to be noted is that </w:t>
      </w:r>
      <w:r w:rsidR="00E331E1">
        <w:lastRenderedPageBreak/>
        <w:t xml:space="preserve">examination </w:t>
      </w:r>
      <w:r w:rsidR="007317F3">
        <w:t xml:space="preserve">malpractice is not related </w:t>
      </w:r>
      <w:r w:rsidR="00E331E1">
        <w:t>to examinees</w:t>
      </w:r>
      <w:r w:rsidR="007317F3">
        <w:t xml:space="preserve"> alone</w:t>
      </w:r>
      <w:r w:rsidR="00E331E1">
        <w:t xml:space="preserve">. Rather, it is something that might occur due to the involvement </w:t>
      </w:r>
      <w:r w:rsidR="007317F3">
        <w:t>and dereliction of multiple parties, both individual and/or institutional, connected to test construction, administration and scoring.</w:t>
      </w:r>
    </w:p>
    <w:p w14:paraId="10EE158B" w14:textId="77777777" w:rsidR="0096207F" w:rsidRDefault="00644E27" w:rsidP="0003294E">
      <w:r>
        <w:t>D</w:t>
      </w:r>
      <w:r w:rsidR="004A594E">
        <w:t xml:space="preserve">ifferent factors responsible for examination </w:t>
      </w:r>
      <w:r w:rsidR="008D597D">
        <w:t>malpractices</w:t>
      </w:r>
      <w:r w:rsidRPr="00644E27">
        <w:t xml:space="preserve"> </w:t>
      </w:r>
      <w:r>
        <w:t>have been discussed in the literature (</w:t>
      </w:r>
      <w:r w:rsidR="00E90B0E">
        <w:t xml:space="preserve">Anzene, 2014; </w:t>
      </w:r>
      <w:r>
        <w:t>Felix, 2015</w:t>
      </w:r>
      <w:r w:rsidR="0022243E">
        <w:t>;</w:t>
      </w:r>
      <w:r w:rsidR="006553FB">
        <w:t xml:space="preserve"> </w:t>
      </w:r>
      <w:r w:rsidR="001C47A7">
        <w:t xml:space="preserve">Odeymi, 2010; </w:t>
      </w:r>
      <w:r w:rsidR="0062757F" w:rsidRPr="0062757F">
        <w:rPr>
          <w:bCs/>
          <w:iCs/>
        </w:rPr>
        <w:t>Onwuzo</w:t>
      </w:r>
      <w:r w:rsidR="0062757F">
        <w:t>, 2014</w:t>
      </w:r>
      <w:r w:rsidR="0028781E">
        <w:t>; Young, 2013</w:t>
      </w:r>
      <w:r w:rsidR="0022243E">
        <w:t>)</w:t>
      </w:r>
      <w:r>
        <w:t xml:space="preserve">. </w:t>
      </w:r>
      <w:r w:rsidR="004A119C">
        <w:t xml:space="preserve">For instance, Felix discusses </w:t>
      </w:r>
      <w:r>
        <w:t>psychological</w:t>
      </w:r>
      <w:r w:rsidR="00747AC4">
        <w:t xml:space="preserve"> </w:t>
      </w:r>
      <w:r w:rsidR="004A119C">
        <w:t xml:space="preserve">factors, </w:t>
      </w:r>
      <w:r w:rsidR="00747AC4">
        <w:t>environmental</w:t>
      </w:r>
      <w:r w:rsidR="004A119C">
        <w:t xml:space="preserve"> factors</w:t>
      </w:r>
      <w:r w:rsidR="00747AC4">
        <w:t xml:space="preserve">, value system of the society in question, admission </w:t>
      </w:r>
      <w:r w:rsidR="004A119C">
        <w:t>and employment requirements, rising cost of education, political climate, level of income, and so on.</w:t>
      </w:r>
    </w:p>
    <w:p w14:paraId="18BD1E56" w14:textId="77777777" w:rsidR="00E90B0E" w:rsidRDefault="00E90B0E" w:rsidP="0003294E">
      <w:r>
        <w:t>Strategies for curbing examination malpractices have also been suggested (</w:t>
      </w:r>
      <w:r w:rsidR="00020615">
        <w:t xml:space="preserve">Anzene, 2014; </w:t>
      </w:r>
      <w:r w:rsidR="001C47A7">
        <w:t xml:space="preserve">Fulcher &amp; Davidson, 2007; </w:t>
      </w:r>
      <w:r>
        <w:t>Odeyemi, 2010</w:t>
      </w:r>
      <w:r w:rsidR="002256E8">
        <w:t>; Reynolds, Livingston &amp; Willson, 2011</w:t>
      </w:r>
      <w:r>
        <w:t>)</w:t>
      </w:r>
      <w:r w:rsidR="001C47A7">
        <w:t xml:space="preserve">. </w:t>
      </w:r>
      <w:r w:rsidR="002256E8">
        <w:t>The strategies suggested include effective supervision and control, administration of appropriate sanction</w:t>
      </w:r>
      <w:r w:rsidR="0088022D">
        <w:t xml:space="preserve">s and penalties, counseling, maintaining </w:t>
      </w:r>
      <w:r w:rsidR="002256E8">
        <w:t xml:space="preserve">discipline, </w:t>
      </w:r>
      <w:r w:rsidR="0088022D">
        <w:t>inculcating morality and ethics, enforcing honour codes, continuous assessment, and the like. It is important to note that examination malpractices can be curbed only through the collaborative efforts of all involved in assessment affairs, including examinees, examiners, invigilators and so forth.</w:t>
      </w:r>
    </w:p>
    <w:p w14:paraId="2A417C7F" w14:textId="77777777" w:rsidR="00EC40AA" w:rsidRDefault="00F75E58" w:rsidP="0003294E">
      <w:pPr>
        <w:pStyle w:val="Heading2"/>
      </w:pPr>
      <w:r>
        <w:t xml:space="preserve">Malpractice and </w:t>
      </w:r>
      <w:r w:rsidR="00EC40AA">
        <w:t xml:space="preserve">Provisions </w:t>
      </w:r>
      <w:r w:rsidR="0028781E">
        <w:t>in Tribhuvan University</w:t>
      </w:r>
    </w:p>
    <w:p w14:paraId="2D51D0E8" w14:textId="77777777" w:rsidR="00F75E58" w:rsidRDefault="00343D1C" w:rsidP="003E1B94">
      <w:r>
        <w:t>Tribhuvan University</w:t>
      </w:r>
      <w:r w:rsidR="003E1B94">
        <w:t xml:space="preserve"> (TU)</w:t>
      </w:r>
      <w:r>
        <w:t xml:space="preserve"> examinations are no exception if </w:t>
      </w:r>
      <w:r w:rsidR="009648B5">
        <w:t>considered in the light of “wide</w:t>
      </w:r>
      <w:r>
        <w:t>spread</w:t>
      </w:r>
      <w:r w:rsidR="009648B5">
        <w:t>”</w:t>
      </w:r>
      <w:r>
        <w:t xml:space="preserve"> malpractices </w:t>
      </w:r>
      <w:r w:rsidR="009648B5">
        <w:t xml:space="preserve">in higher education, in fact, all over the world. </w:t>
      </w:r>
      <w:r w:rsidR="003E1B94">
        <w:t>For instance, t</w:t>
      </w:r>
      <w:r w:rsidR="009648B5">
        <w:t xml:space="preserve">his phenomenon in </w:t>
      </w:r>
      <w:r w:rsidR="003E1B94">
        <w:t xml:space="preserve">Nepalese </w:t>
      </w:r>
      <w:r w:rsidR="009648B5">
        <w:t>higher education, and therefore T</w:t>
      </w:r>
      <w:r w:rsidR="003E1B94">
        <w:t>U also, is pictured in the documented literature as well (Basnyat, 2006; Khaniya, 2013; Rijal, 2018).</w:t>
      </w:r>
      <w:r w:rsidR="00613F9D">
        <w:t xml:space="preserve"> Basnyat (2006, p. 141), a student then, comments that “</w:t>
      </w:r>
      <w:r w:rsidR="00597746">
        <w:t xml:space="preserve">… </w:t>
      </w:r>
      <w:r w:rsidR="00613F9D">
        <w:t>stud</w:t>
      </w:r>
      <w:r w:rsidR="00597746">
        <w:t>ents prepare cheats and use it [</w:t>
      </w:r>
      <w:r w:rsidR="00597746" w:rsidRPr="00597746">
        <w:rPr>
          <w:i/>
        </w:rPr>
        <w:t>sic</w:t>
      </w:r>
      <w:r w:rsidR="00597746">
        <w:t>]</w:t>
      </w:r>
      <w:r w:rsidR="00613F9D">
        <w:t xml:space="preserve"> in the examination hall</w:t>
      </w:r>
      <w:r w:rsidR="00597746">
        <w:t xml:space="preserve"> …</w:t>
      </w:r>
      <w:r w:rsidR="00613F9D">
        <w:t>”.</w:t>
      </w:r>
      <w:r w:rsidR="00597746">
        <w:t xml:space="preserve"> In a similar vein are Khaniya’s (201</w:t>
      </w:r>
      <w:r w:rsidR="00385655">
        <w:t>3) opinions</w:t>
      </w:r>
      <w:r w:rsidR="005410EB">
        <w:t>. Detailing some vignettes of examination malpractices, he also</w:t>
      </w:r>
      <w:r w:rsidR="00385655">
        <w:t xml:space="preserve"> states that:</w:t>
      </w:r>
    </w:p>
    <w:p w14:paraId="36C813AC" w14:textId="77777777" w:rsidR="00385655" w:rsidRDefault="00385655" w:rsidP="005410EB">
      <w:pPr>
        <w:ind w:left="720" w:firstLine="0"/>
      </w:pPr>
      <w:r>
        <w:t xml:space="preserve">Sometimes I find myself in an awkward situation when I find my M. Ed. students’ answer sheets better than I could have possibly done. The explanation is that their </w:t>
      </w:r>
      <w:r>
        <w:lastRenderedPageBreak/>
        <w:t>answers were either directly copied from a book written by world renowned scholars in that area or memorized from the books written by famous writers. My problem is: should I award full marks to the answers or no marks or fifty percent marks?</w:t>
      </w:r>
      <w:r w:rsidR="005410EB">
        <w:t xml:space="preserve"> (p. 47)</w:t>
      </w:r>
    </w:p>
    <w:p w14:paraId="34A77A96" w14:textId="77777777" w:rsidR="005D61C9" w:rsidRDefault="005410EB" w:rsidP="00456224">
      <w:pPr>
        <w:ind w:left="720"/>
      </w:pPr>
      <w:r>
        <w:t>In the same way, Rijal (2018) points out the different problems</w:t>
      </w:r>
      <w:r w:rsidR="00C438A7">
        <w:t xml:space="preserve"> prevailing</w:t>
      </w:r>
      <w:r>
        <w:t xml:space="preserve"> in test administration and scoring</w:t>
      </w:r>
      <w:r w:rsidR="00C438A7">
        <w:t xml:space="preserve"> </w:t>
      </w:r>
      <w:r w:rsidR="00DB7C3A">
        <w:t>in TU – “</w:t>
      </w:r>
      <w:r w:rsidR="00C438A7">
        <w:t xml:space="preserve">mass cheating”, </w:t>
      </w:r>
      <w:r w:rsidR="00152FFB">
        <w:t xml:space="preserve">lack of seriousness in marking, and so forth. </w:t>
      </w:r>
      <w:r w:rsidR="005D61C9">
        <w:t>For instance, h</w:t>
      </w:r>
      <w:r w:rsidR="00152FFB">
        <w:t>e states that</w:t>
      </w:r>
      <w:r w:rsidR="005D61C9">
        <w:t>:</w:t>
      </w:r>
    </w:p>
    <w:p w14:paraId="1816A2D0" w14:textId="77777777" w:rsidR="005410EB" w:rsidRDefault="00152FFB" w:rsidP="00456224">
      <w:pPr>
        <w:ind w:left="1440" w:firstLine="0"/>
      </w:pPr>
      <w:r>
        <w:t xml:space="preserve"> </w:t>
      </w:r>
      <w:r w:rsidR="005D61C9">
        <w:t>I</w:t>
      </w:r>
      <w:r>
        <w:t>n many places, the students’ exam papers show that they are involved in mass cheating because in the exam pap</w:t>
      </w:r>
      <w:r w:rsidR="005D61C9">
        <w:t xml:space="preserve">ers the examiners can find every paper started with the same letter, words, and mechanics and commit the same type of mistakes throughout the package. This is either because of the colleges or schools themselves or because of the negligence of the superintendent and observers. (p. </w:t>
      </w:r>
      <w:r w:rsidR="00456224">
        <w:t>211)</w:t>
      </w:r>
    </w:p>
    <w:p w14:paraId="3770C2A1" w14:textId="77777777" w:rsidR="0011119F" w:rsidRPr="0011119F" w:rsidRDefault="0028781E" w:rsidP="0003294E">
      <w:r w:rsidRPr="0011119F">
        <w:t>Tribhuvan University takes examination malpracti</w:t>
      </w:r>
      <w:r w:rsidR="007951DF" w:rsidRPr="0011119F">
        <w:t xml:space="preserve">ces with utmost seriousness and, therefore, has formally maintained different provisions in its documents, particularly </w:t>
      </w:r>
      <w:r w:rsidR="0011119F" w:rsidRPr="0011119F">
        <w:t>Regulation</w:t>
      </w:r>
      <w:r w:rsidR="00817849">
        <w:t>s</w:t>
      </w:r>
      <w:r w:rsidR="0011119F" w:rsidRPr="0011119F">
        <w:t xml:space="preserve"> for Tribhuvan University Organization and Administration – 1994 and </w:t>
      </w:r>
    </w:p>
    <w:p w14:paraId="7BE775BF" w14:textId="77777777" w:rsidR="0028781E" w:rsidRPr="0028781E" w:rsidRDefault="001322CB" w:rsidP="0003294E">
      <w:pPr>
        <w:pStyle w:val="BodyText2"/>
      </w:pPr>
      <w:r>
        <w:t>Tribhuvan University Examinations M</w:t>
      </w:r>
      <w:r w:rsidR="0011119F" w:rsidRPr="0011119F">
        <w:t>anagement</w:t>
      </w:r>
      <w:r>
        <w:t xml:space="preserve"> and Operation G</w:t>
      </w:r>
      <w:r w:rsidR="0011119F" w:rsidRPr="0011119F">
        <w:t>uidelines – 2015</w:t>
      </w:r>
      <w:r w:rsidR="002A3F28">
        <w:t xml:space="preserve"> (TUEMOG)</w:t>
      </w:r>
      <w:r>
        <w:t>. The documents clearly spell out the responsibilities of different stakeholder groups involved in examination-related affairs and the sanctions that might come into effect in case the stakeholder groups fail to accomplish their responsibilities.</w:t>
      </w:r>
      <w:r w:rsidR="002A3F28">
        <w:t xml:space="preserve"> For instance, </w:t>
      </w:r>
      <w:r w:rsidR="005234B5">
        <w:t xml:space="preserve">Chapter 9 of </w:t>
      </w:r>
      <w:r w:rsidR="002A3F28">
        <w:t xml:space="preserve">TUEMOG </w:t>
      </w:r>
      <w:r w:rsidR="005234B5">
        <w:t xml:space="preserve">provisions the sanctions, penalties and also right to appeal </w:t>
      </w:r>
      <w:r w:rsidR="00054BEE">
        <w:t xml:space="preserve">in case of any irregularities or malpractices. Sanctions and penalties range </w:t>
      </w:r>
      <w:r w:rsidR="00607673">
        <w:t>from just issuing</w:t>
      </w:r>
      <w:r w:rsidR="00054BEE">
        <w:t xml:space="preserve"> </w:t>
      </w:r>
      <w:r w:rsidR="00607673">
        <w:t xml:space="preserve">a </w:t>
      </w:r>
      <w:r w:rsidR="00054BEE">
        <w:t xml:space="preserve">warning to </w:t>
      </w:r>
      <w:r w:rsidR="001F6B17">
        <w:t xml:space="preserve">the </w:t>
      </w:r>
      <w:r w:rsidR="0039715F">
        <w:t>more serious ones such as dismissal from the responsibility assigned or expulsion of examinees up to four years</w:t>
      </w:r>
      <w:r w:rsidR="00054BEE">
        <w:t xml:space="preserve">, </w:t>
      </w:r>
      <w:r w:rsidR="0039715F">
        <w:t>cancellation of all the academic certificates re</w:t>
      </w:r>
      <w:r w:rsidR="00EE7CE5">
        <w:t>ceived from TU</w:t>
      </w:r>
      <w:r w:rsidR="0039715F">
        <w:t xml:space="preserve">, </w:t>
      </w:r>
      <w:r w:rsidR="00C4113A">
        <w:t xml:space="preserve">submitting the malefactors to the local administration for </w:t>
      </w:r>
      <w:r w:rsidR="00977642">
        <w:t xml:space="preserve">trials in accord with the public act, </w:t>
      </w:r>
      <w:r w:rsidR="0039715F">
        <w:t>and so on.</w:t>
      </w:r>
      <w:r w:rsidR="00977642">
        <w:t xml:space="preserve"> This all makes it eviden</w:t>
      </w:r>
      <w:r w:rsidR="007B76F6">
        <w:t xml:space="preserve">t that the university provisions condone no examination </w:t>
      </w:r>
      <w:r w:rsidR="007B76F6">
        <w:lastRenderedPageBreak/>
        <w:t>malpractices at all. Nonetheless, rather tragically, the issue of such practices is surfaced during almost every examination</w:t>
      </w:r>
      <w:r w:rsidR="00DC7318">
        <w:t xml:space="preserve"> and the university does claim that it brings its provisions into effect against such unethical practices</w:t>
      </w:r>
      <w:r w:rsidR="007B76F6">
        <w:t>.</w:t>
      </w:r>
    </w:p>
    <w:p w14:paraId="799D29BA" w14:textId="77777777" w:rsidR="00D037F6" w:rsidRDefault="00D037F6" w:rsidP="0003294E">
      <w:pPr>
        <w:pStyle w:val="Heading2"/>
      </w:pPr>
      <w:r>
        <w:t>Objective of the Study</w:t>
      </w:r>
    </w:p>
    <w:p w14:paraId="1D56C2D4" w14:textId="77777777" w:rsidR="00D037F6" w:rsidRPr="00D037F6" w:rsidRDefault="00D037F6" w:rsidP="0003294E">
      <w:r>
        <w:t xml:space="preserve">This study intended to </w:t>
      </w:r>
      <w:r w:rsidR="002B3196">
        <w:t>investigate</w:t>
      </w:r>
      <w:r w:rsidR="005D4ADB">
        <w:t xml:space="preserve"> the feasibility</w:t>
      </w:r>
      <w:r>
        <w:t xml:space="preserve"> of </w:t>
      </w:r>
      <w:r w:rsidR="00D43593">
        <w:t>formally</w:t>
      </w:r>
      <w:r w:rsidR="00DC7318">
        <w:t xml:space="preserve"> and explicitly</w:t>
      </w:r>
      <w:r w:rsidR="00D43593">
        <w:t xml:space="preserve"> </w:t>
      </w:r>
      <w:r>
        <w:t>designating the scorer</w:t>
      </w:r>
      <w:r w:rsidR="00B96B01">
        <w:t xml:space="preserve"> </w:t>
      </w:r>
      <w:r w:rsidR="006D7EF5">
        <w:t xml:space="preserve">the right to take necessary measures in order to treat the examination malpractices evident in answer sheets amidst the contentious opinions as to </w:t>
      </w:r>
      <w:r w:rsidR="00991223">
        <w:t xml:space="preserve">whether the scorer should award scores for what has been produced in answer sheets even if </w:t>
      </w:r>
      <w:r w:rsidR="00BB032B">
        <w:t>the written texts evidently indicate one or the other sort of malpractice</w:t>
      </w:r>
      <w:r w:rsidR="00991223">
        <w:t xml:space="preserve"> or </w:t>
      </w:r>
      <w:r w:rsidR="00BB032B">
        <w:t xml:space="preserve">the scorer should </w:t>
      </w:r>
      <w:r w:rsidR="00991223">
        <w:t xml:space="preserve">use </w:t>
      </w:r>
      <w:r w:rsidR="00BB032B">
        <w:t xml:space="preserve">his/her </w:t>
      </w:r>
      <w:r w:rsidR="00991223">
        <w:t xml:space="preserve">personal judgement </w:t>
      </w:r>
      <w:r w:rsidR="00BB032B">
        <w:t>judiciously based on empirical facts in order to treat such malpractices.</w:t>
      </w:r>
    </w:p>
    <w:p w14:paraId="247CF50A" w14:textId="77777777" w:rsidR="00E44033" w:rsidRDefault="00E44033" w:rsidP="0003294E">
      <w:pPr>
        <w:pStyle w:val="Heading2"/>
      </w:pPr>
      <w:r>
        <w:t xml:space="preserve">Method </w:t>
      </w:r>
    </w:p>
    <w:p w14:paraId="68D1590C" w14:textId="77777777" w:rsidR="003764A4" w:rsidRPr="003764A4" w:rsidRDefault="00391C37" w:rsidP="0003294E">
      <w:r>
        <w:t>Adopting the “content analysis” approach, the instances</w:t>
      </w:r>
      <w:r w:rsidR="00B24D45">
        <w:t xml:space="preserve"> of different tendencies a</w:t>
      </w:r>
      <w:r w:rsidR="00CB405B">
        <w:t>s portrayed by examinees</w:t>
      </w:r>
      <w:r w:rsidR="00B24D45">
        <w:t xml:space="preserve"> </w:t>
      </w:r>
      <w:r w:rsidR="005D4ADB">
        <w:t xml:space="preserve">in written responses </w:t>
      </w:r>
      <w:r w:rsidR="00B24D45">
        <w:t>were</w:t>
      </w:r>
      <w:r>
        <w:t xml:space="preserve"> noted during the marking of the answer sheets of the Bachelor’s level in English education</w:t>
      </w:r>
      <w:r w:rsidR="00B24D45">
        <w:t>.</w:t>
      </w:r>
      <w:r>
        <w:t xml:space="preserve"> </w:t>
      </w:r>
      <w:r w:rsidR="00CB405B">
        <w:t xml:space="preserve">The instances </w:t>
      </w:r>
      <w:r>
        <w:t xml:space="preserve">were </w:t>
      </w:r>
      <w:r w:rsidR="00421947">
        <w:t xml:space="preserve">analysed in depth and only a limited number of </w:t>
      </w:r>
      <w:r w:rsidR="00B24D45">
        <w:t>broader categories of such instances</w:t>
      </w:r>
      <w:r w:rsidR="00421947">
        <w:t xml:space="preserve"> were identified. The instances wer</w:t>
      </w:r>
      <w:r w:rsidR="00CB405B">
        <w:t xml:space="preserve">e </w:t>
      </w:r>
      <w:r w:rsidR="00B24D45">
        <w:t>presented and discussed</w:t>
      </w:r>
      <w:r w:rsidR="00D43593">
        <w:t xml:space="preserve">, and </w:t>
      </w:r>
      <w:r w:rsidR="00CB405B">
        <w:t>then the conclusion was drawn based on the discussion</w:t>
      </w:r>
      <w:r w:rsidR="00B24D45">
        <w:t>.</w:t>
      </w:r>
      <w:r w:rsidR="00421947">
        <w:t xml:space="preserve"> </w:t>
      </w:r>
      <w:r w:rsidR="00CB405B">
        <w:t>It is to be noted that, in compliance with the ethical principle of confidentiality, the code no. of the course of study, the region to which the answer sheets belong</w:t>
      </w:r>
      <w:r w:rsidR="004D7469">
        <w:t xml:space="preserve"> and the years</w:t>
      </w:r>
      <w:r w:rsidR="00D037F6">
        <w:t xml:space="preserve"> of the exami</w:t>
      </w:r>
      <w:r w:rsidR="00583D85">
        <w:t xml:space="preserve">nations remain </w:t>
      </w:r>
      <w:r w:rsidR="003764A4">
        <w:t>unstated</w:t>
      </w:r>
      <w:r w:rsidR="005E0DB5">
        <w:t>.</w:t>
      </w:r>
    </w:p>
    <w:p w14:paraId="42520816" w14:textId="77777777" w:rsidR="00B1134B" w:rsidRDefault="00063D97" w:rsidP="0003294E">
      <w:pPr>
        <w:pStyle w:val="Heading2"/>
      </w:pPr>
      <w:r>
        <w:t>Results and Discussion</w:t>
      </w:r>
    </w:p>
    <w:p w14:paraId="600D0EF4" w14:textId="77777777" w:rsidR="00324BCA" w:rsidRDefault="00324BCA" w:rsidP="0003294E">
      <w:r>
        <w:t>This section presents and discusses the broad categories of instances derived from a number of individual instances of examinee behaviour portrayed during the written examination c</w:t>
      </w:r>
      <w:r w:rsidR="00EE7CE5">
        <w:t>onducted by TU</w:t>
      </w:r>
      <w:r>
        <w:t xml:space="preserve">. Table 1 presents the observations </w:t>
      </w:r>
      <w:r w:rsidR="00545FF2">
        <w:t>on the behaviour of examinees.</w:t>
      </w:r>
    </w:p>
    <w:p w14:paraId="7003941C" w14:textId="77777777" w:rsidR="00B61FC7" w:rsidRPr="00324BCA" w:rsidRDefault="00B61FC7" w:rsidP="0003294E">
      <w:r>
        <w:lastRenderedPageBreak/>
        <w:t>Each of the categories of examinee behaviours as portrayed in Table 1 clearly suggests that the responses of examinees lack a genuine picture of their abilities and skills. This assertion is doubtlessly hard, but not impossible, to justify in that it either requires a panel of experts to carefully study the responses of examinees and reach a conclusion unanimously and anonymously as well or, as a final resort, it might require the same examinees to show their performance in a well-invigilated test environment.</w:t>
      </w:r>
    </w:p>
    <w:p w14:paraId="5455DE79" w14:textId="77777777" w:rsidR="005D4ADB" w:rsidRPr="003764A4" w:rsidRDefault="005D4ADB" w:rsidP="003764A4">
      <w:pPr>
        <w:pStyle w:val="Caption"/>
        <w:keepNext/>
        <w:ind w:firstLine="0"/>
        <w:rPr>
          <w:i w:val="0"/>
          <w:color w:val="auto"/>
          <w:sz w:val="24"/>
          <w:szCs w:val="24"/>
        </w:rPr>
      </w:pPr>
      <w:r w:rsidRPr="003764A4">
        <w:rPr>
          <w:i w:val="0"/>
          <w:color w:val="auto"/>
          <w:sz w:val="24"/>
          <w:szCs w:val="24"/>
        </w:rPr>
        <w:t xml:space="preserve">Table </w:t>
      </w:r>
      <w:r w:rsidRPr="003764A4">
        <w:rPr>
          <w:i w:val="0"/>
          <w:color w:val="auto"/>
          <w:sz w:val="24"/>
          <w:szCs w:val="24"/>
        </w:rPr>
        <w:fldChar w:fldCharType="begin"/>
      </w:r>
      <w:r w:rsidRPr="003764A4">
        <w:rPr>
          <w:i w:val="0"/>
          <w:color w:val="auto"/>
          <w:sz w:val="24"/>
          <w:szCs w:val="24"/>
        </w:rPr>
        <w:instrText xml:space="preserve"> SEQ Table \* ARABIC </w:instrText>
      </w:r>
      <w:r w:rsidRPr="003764A4">
        <w:rPr>
          <w:i w:val="0"/>
          <w:color w:val="auto"/>
          <w:sz w:val="24"/>
          <w:szCs w:val="24"/>
        </w:rPr>
        <w:fldChar w:fldCharType="separate"/>
      </w:r>
      <w:r w:rsidRPr="003764A4">
        <w:rPr>
          <w:i w:val="0"/>
          <w:noProof/>
          <w:color w:val="auto"/>
          <w:sz w:val="24"/>
          <w:szCs w:val="24"/>
        </w:rPr>
        <w:t>1</w:t>
      </w:r>
      <w:r w:rsidRPr="003764A4">
        <w:rPr>
          <w:i w:val="0"/>
          <w:color w:val="auto"/>
          <w:sz w:val="24"/>
          <w:szCs w:val="24"/>
        </w:rPr>
        <w:fldChar w:fldCharType="end"/>
      </w:r>
      <w:r w:rsidR="003764A4" w:rsidRPr="003764A4">
        <w:rPr>
          <w:i w:val="0"/>
          <w:color w:val="auto"/>
          <w:sz w:val="24"/>
          <w:szCs w:val="24"/>
        </w:rPr>
        <w:t xml:space="preserve">. </w:t>
      </w:r>
      <w:r w:rsidR="003764A4">
        <w:rPr>
          <w:color w:val="auto"/>
          <w:sz w:val="24"/>
          <w:szCs w:val="24"/>
        </w:rPr>
        <w:t>Categories of Observations</w:t>
      </w:r>
      <w:r w:rsidR="003764A4" w:rsidRPr="003764A4">
        <w:rPr>
          <w:color w:val="auto"/>
          <w:sz w:val="24"/>
          <w:szCs w:val="24"/>
        </w:rPr>
        <w:t xml:space="preserve"> in English Education Answer Sheets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8520"/>
      </w:tblGrid>
      <w:tr w:rsidR="0054787E" w14:paraId="195E1AF2" w14:textId="77777777" w:rsidTr="0010395B">
        <w:tc>
          <w:tcPr>
            <w:tcW w:w="0" w:type="auto"/>
            <w:tcBorders>
              <w:top w:val="single" w:sz="4" w:space="0" w:color="auto"/>
              <w:bottom w:val="single" w:sz="4" w:space="0" w:color="auto"/>
            </w:tcBorders>
          </w:tcPr>
          <w:p w14:paraId="7D449BCC" w14:textId="77777777" w:rsidR="0029162B" w:rsidRDefault="0029162B" w:rsidP="0029162B">
            <w:pPr>
              <w:spacing w:line="240" w:lineRule="auto"/>
              <w:ind w:firstLine="0"/>
            </w:pPr>
            <w:r>
              <w:t>S. N.</w:t>
            </w:r>
          </w:p>
        </w:tc>
        <w:tc>
          <w:tcPr>
            <w:tcW w:w="0" w:type="auto"/>
            <w:tcBorders>
              <w:top w:val="single" w:sz="4" w:space="0" w:color="auto"/>
              <w:bottom w:val="single" w:sz="4" w:space="0" w:color="auto"/>
            </w:tcBorders>
          </w:tcPr>
          <w:p w14:paraId="4C19EB20" w14:textId="77777777" w:rsidR="0029162B" w:rsidRDefault="0029162B" w:rsidP="004C62DB">
            <w:pPr>
              <w:spacing w:line="240" w:lineRule="auto"/>
              <w:ind w:firstLine="0"/>
              <w:jc w:val="center"/>
            </w:pPr>
            <w:r>
              <w:t>Observation</w:t>
            </w:r>
            <w:r w:rsidR="00F06C4E">
              <w:t>s</w:t>
            </w:r>
          </w:p>
        </w:tc>
      </w:tr>
      <w:tr w:rsidR="0054787E" w14:paraId="680346C1" w14:textId="77777777" w:rsidTr="0010395B">
        <w:tc>
          <w:tcPr>
            <w:tcW w:w="0" w:type="auto"/>
            <w:tcBorders>
              <w:top w:val="single" w:sz="4" w:space="0" w:color="auto"/>
            </w:tcBorders>
          </w:tcPr>
          <w:p w14:paraId="4A3C741B" w14:textId="77777777" w:rsidR="0029162B" w:rsidRDefault="0029162B" w:rsidP="0029162B">
            <w:pPr>
              <w:pStyle w:val="ListParagraph"/>
              <w:numPr>
                <w:ilvl w:val="0"/>
                <w:numId w:val="1"/>
              </w:numPr>
              <w:spacing w:line="240" w:lineRule="auto"/>
            </w:pPr>
          </w:p>
        </w:tc>
        <w:tc>
          <w:tcPr>
            <w:tcW w:w="0" w:type="auto"/>
            <w:tcBorders>
              <w:top w:val="single" w:sz="4" w:space="0" w:color="auto"/>
            </w:tcBorders>
          </w:tcPr>
          <w:p w14:paraId="0C3F0083" w14:textId="77777777" w:rsidR="0029162B" w:rsidRDefault="001D26E2" w:rsidP="0029162B">
            <w:pPr>
              <w:spacing w:line="240" w:lineRule="auto"/>
              <w:ind w:firstLine="0"/>
            </w:pPr>
            <w:r>
              <w:t>Within the same answer sheet, s</w:t>
            </w:r>
            <w:r w:rsidR="0029162B">
              <w:t>ome of the answers paralleling the academic texts wi</w:t>
            </w:r>
            <w:r w:rsidR="004C62DB">
              <w:t>th enough citations whereas most</w:t>
            </w:r>
            <w:r w:rsidR="0029162B">
              <w:t xml:space="preserve"> lacking even the basics of grammaticality.</w:t>
            </w:r>
          </w:p>
        </w:tc>
      </w:tr>
      <w:tr w:rsidR="0054787E" w14:paraId="6BC65634" w14:textId="77777777" w:rsidTr="0010395B">
        <w:tc>
          <w:tcPr>
            <w:tcW w:w="0" w:type="auto"/>
          </w:tcPr>
          <w:p w14:paraId="60BE378C" w14:textId="77777777" w:rsidR="004C62DB" w:rsidRDefault="004C62DB" w:rsidP="0029162B">
            <w:pPr>
              <w:pStyle w:val="ListParagraph"/>
              <w:numPr>
                <w:ilvl w:val="0"/>
                <w:numId w:val="1"/>
              </w:numPr>
              <w:spacing w:line="240" w:lineRule="auto"/>
            </w:pPr>
          </w:p>
        </w:tc>
        <w:tc>
          <w:tcPr>
            <w:tcW w:w="0" w:type="auto"/>
          </w:tcPr>
          <w:p w14:paraId="7C65E31A" w14:textId="77777777" w:rsidR="004C62DB" w:rsidRDefault="004C62DB" w:rsidP="0029162B">
            <w:pPr>
              <w:spacing w:line="240" w:lineRule="auto"/>
              <w:ind w:firstLine="0"/>
            </w:pPr>
            <w:r>
              <w:t>Texts with the Nepali translations of the main words in the answers, the general practice observed in guidebooks and guesspapers.</w:t>
            </w:r>
          </w:p>
        </w:tc>
      </w:tr>
      <w:tr w:rsidR="0054787E" w14:paraId="60E7132A" w14:textId="77777777" w:rsidTr="0010395B">
        <w:tc>
          <w:tcPr>
            <w:tcW w:w="0" w:type="auto"/>
          </w:tcPr>
          <w:p w14:paraId="32E5E92D" w14:textId="77777777" w:rsidR="004C62DB" w:rsidRDefault="004C62DB" w:rsidP="0029162B">
            <w:pPr>
              <w:pStyle w:val="ListParagraph"/>
              <w:numPr>
                <w:ilvl w:val="0"/>
                <w:numId w:val="1"/>
              </w:numPr>
              <w:spacing w:line="240" w:lineRule="auto"/>
            </w:pPr>
          </w:p>
        </w:tc>
        <w:tc>
          <w:tcPr>
            <w:tcW w:w="0" w:type="auto"/>
          </w:tcPr>
          <w:p w14:paraId="392F268F" w14:textId="77777777" w:rsidR="004C62DB" w:rsidRDefault="004C62DB" w:rsidP="0029162B">
            <w:pPr>
              <w:spacing w:line="240" w:lineRule="auto"/>
              <w:ind w:firstLine="0"/>
            </w:pPr>
            <w:r>
              <w:t>Completely irrelevant answers with highly academic language and contents but related to some other topics.</w:t>
            </w:r>
          </w:p>
        </w:tc>
      </w:tr>
      <w:tr w:rsidR="0054787E" w14:paraId="3DC58173" w14:textId="77777777" w:rsidTr="0010395B">
        <w:tc>
          <w:tcPr>
            <w:tcW w:w="0" w:type="auto"/>
          </w:tcPr>
          <w:p w14:paraId="1BD71C95" w14:textId="77777777" w:rsidR="004C62DB" w:rsidRDefault="004C62DB" w:rsidP="0029162B">
            <w:pPr>
              <w:pStyle w:val="ListParagraph"/>
              <w:numPr>
                <w:ilvl w:val="0"/>
                <w:numId w:val="1"/>
              </w:numPr>
              <w:spacing w:line="240" w:lineRule="auto"/>
            </w:pPr>
          </w:p>
        </w:tc>
        <w:tc>
          <w:tcPr>
            <w:tcW w:w="0" w:type="auto"/>
          </w:tcPr>
          <w:p w14:paraId="2670504E" w14:textId="77777777" w:rsidR="004C62DB" w:rsidRDefault="00721C42" w:rsidP="0029162B">
            <w:pPr>
              <w:spacing w:line="240" w:lineRule="auto"/>
              <w:ind w:firstLine="0"/>
            </w:pPr>
            <w:r>
              <w:t>Almost exactly the same texts across a number of answer sheets, even the grammatical, lexical and stylistic errors in one answer sheet repeated across several answer sheets.</w:t>
            </w:r>
          </w:p>
        </w:tc>
      </w:tr>
      <w:tr w:rsidR="00796EDC" w14:paraId="5A340391" w14:textId="77777777" w:rsidTr="0010395B">
        <w:tc>
          <w:tcPr>
            <w:tcW w:w="0" w:type="auto"/>
          </w:tcPr>
          <w:p w14:paraId="5D03ECB2" w14:textId="77777777" w:rsidR="00721C42" w:rsidRDefault="00721C42" w:rsidP="0029162B">
            <w:pPr>
              <w:pStyle w:val="ListParagraph"/>
              <w:numPr>
                <w:ilvl w:val="0"/>
                <w:numId w:val="1"/>
              </w:numPr>
              <w:spacing w:line="240" w:lineRule="auto"/>
            </w:pPr>
          </w:p>
        </w:tc>
        <w:tc>
          <w:tcPr>
            <w:tcW w:w="0" w:type="auto"/>
          </w:tcPr>
          <w:p w14:paraId="7A9C5349" w14:textId="77777777" w:rsidR="00721C42" w:rsidRDefault="002F4910" w:rsidP="0029162B">
            <w:pPr>
              <w:spacing w:line="240" w:lineRule="auto"/>
              <w:ind w:firstLine="0"/>
            </w:pPr>
            <w:r>
              <w:t xml:space="preserve">Writing one or two good paragraphs and leaving the space for some paragraphs and again writing some good paragraphs related to the answer to a question. </w:t>
            </w:r>
            <w:r w:rsidR="0054787E">
              <w:t>The same common in other answer sheets also.</w:t>
            </w:r>
          </w:p>
        </w:tc>
      </w:tr>
      <w:tr w:rsidR="00796EDC" w14:paraId="6A91C773" w14:textId="77777777" w:rsidTr="0010395B">
        <w:tc>
          <w:tcPr>
            <w:tcW w:w="0" w:type="auto"/>
          </w:tcPr>
          <w:p w14:paraId="1879A8D2" w14:textId="77777777" w:rsidR="00721C42" w:rsidRDefault="00721C42" w:rsidP="0029162B">
            <w:pPr>
              <w:pStyle w:val="ListParagraph"/>
              <w:numPr>
                <w:ilvl w:val="0"/>
                <w:numId w:val="1"/>
              </w:numPr>
              <w:spacing w:line="240" w:lineRule="auto"/>
            </w:pPr>
          </w:p>
        </w:tc>
        <w:tc>
          <w:tcPr>
            <w:tcW w:w="0" w:type="auto"/>
          </w:tcPr>
          <w:p w14:paraId="0E4E3D49" w14:textId="77777777" w:rsidR="00721C42" w:rsidRDefault="0054787E" w:rsidP="0029162B">
            <w:pPr>
              <w:spacing w:line="240" w:lineRule="auto"/>
              <w:ind w:firstLine="0"/>
            </w:pPr>
            <w:r>
              <w:t>In some answer sheets only the beginning paragraphs of an answer, in some others the middle paragraphs only and in still others only the final paragraphs of the same answer, whereas in some all the paragraphs</w:t>
            </w:r>
            <w:r w:rsidR="00796EDC">
              <w:t xml:space="preserve"> which are exactly the same found in </w:t>
            </w:r>
            <w:r w:rsidR="00B45E3F">
              <w:t xml:space="preserve">the </w:t>
            </w:r>
            <w:r w:rsidR="00796EDC">
              <w:t>other answer sheets.</w:t>
            </w:r>
          </w:p>
        </w:tc>
      </w:tr>
      <w:tr w:rsidR="00796EDC" w14:paraId="494B45A7" w14:textId="77777777" w:rsidTr="0010395B">
        <w:tc>
          <w:tcPr>
            <w:tcW w:w="0" w:type="auto"/>
          </w:tcPr>
          <w:p w14:paraId="759D6DE0" w14:textId="77777777" w:rsidR="00721C42" w:rsidRDefault="00721C42" w:rsidP="0029162B">
            <w:pPr>
              <w:pStyle w:val="ListParagraph"/>
              <w:numPr>
                <w:ilvl w:val="0"/>
                <w:numId w:val="1"/>
              </w:numPr>
              <w:spacing w:line="240" w:lineRule="auto"/>
            </w:pPr>
          </w:p>
        </w:tc>
        <w:tc>
          <w:tcPr>
            <w:tcW w:w="0" w:type="auto"/>
          </w:tcPr>
          <w:p w14:paraId="338D282E" w14:textId="77777777" w:rsidR="00721C42" w:rsidRDefault="001D26E2" w:rsidP="0029162B">
            <w:pPr>
              <w:spacing w:line="240" w:lineRule="auto"/>
              <w:ind w:firstLine="0"/>
            </w:pPr>
            <w:r>
              <w:t>The answer containing</w:t>
            </w:r>
            <w:r w:rsidR="00B45E3F">
              <w:t xml:space="preserve"> “…</w:t>
            </w:r>
            <w:r>
              <w:t xml:space="preserve"> is shown in figure 2” but lacking</w:t>
            </w:r>
            <w:r w:rsidR="00B45E3F">
              <w:t xml:space="preserve"> such a figure.</w:t>
            </w:r>
          </w:p>
        </w:tc>
      </w:tr>
      <w:tr w:rsidR="00796EDC" w14:paraId="2E6701EC" w14:textId="77777777" w:rsidTr="0010395B">
        <w:tc>
          <w:tcPr>
            <w:tcW w:w="0" w:type="auto"/>
          </w:tcPr>
          <w:p w14:paraId="67BBE272" w14:textId="77777777" w:rsidR="00721C42" w:rsidRDefault="00721C42" w:rsidP="0029162B">
            <w:pPr>
              <w:pStyle w:val="ListParagraph"/>
              <w:numPr>
                <w:ilvl w:val="0"/>
                <w:numId w:val="1"/>
              </w:numPr>
              <w:spacing w:line="240" w:lineRule="auto"/>
            </w:pPr>
          </w:p>
        </w:tc>
        <w:tc>
          <w:tcPr>
            <w:tcW w:w="0" w:type="auto"/>
          </w:tcPr>
          <w:p w14:paraId="2DEB13E5" w14:textId="77777777" w:rsidR="00721C42" w:rsidRDefault="009804EC" w:rsidP="0029162B">
            <w:pPr>
              <w:spacing w:line="240" w:lineRule="auto"/>
              <w:ind w:firstLine="0"/>
            </w:pPr>
            <w:r>
              <w:t>Two or three lengthy academic texts with proper citations but not related at all to any of the questions asked. At the same time, other texts very poor in terms of the basics of grammar, meaning and so forth.</w:t>
            </w:r>
          </w:p>
        </w:tc>
      </w:tr>
      <w:tr w:rsidR="00796EDC" w14:paraId="3BC77A2A" w14:textId="77777777" w:rsidTr="0010395B">
        <w:tc>
          <w:tcPr>
            <w:tcW w:w="0" w:type="auto"/>
          </w:tcPr>
          <w:p w14:paraId="40C18A62" w14:textId="77777777" w:rsidR="00721C42" w:rsidRDefault="00721C42" w:rsidP="0029162B">
            <w:pPr>
              <w:pStyle w:val="ListParagraph"/>
              <w:numPr>
                <w:ilvl w:val="0"/>
                <w:numId w:val="1"/>
              </w:numPr>
              <w:spacing w:line="240" w:lineRule="auto"/>
            </w:pPr>
          </w:p>
        </w:tc>
        <w:tc>
          <w:tcPr>
            <w:tcW w:w="0" w:type="auto"/>
          </w:tcPr>
          <w:p w14:paraId="5BE6AEA9" w14:textId="77777777" w:rsidR="00721C42" w:rsidRDefault="00E778E7" w:rsidP="0029162B">
            <w:pPr>
              <w:spacing w:line="240" w:lineRule="auto"/>
              <w:ind w:firstLine="0"/>
            </w:pPr>
            <w:r>
              <w:t>Two answers placed continuously together with only a question number written at the top. The same instance common in other 4 or 5 answer sheets</w:t>
            </w:r>
            <w:r w:rsidR="00E44033">
              <w:t xml:space="preserve"> coming immediately one after the other</w:t>
            </w:r>
            <w:r>
              <w:t>.</w:t>
            </w:r>
          </w:p>
        </w:tc>
      </w:tr>
      <w:tr w:rsidR="00796EDC" w14:paraId="5244E9E5" w14:textId="77777777" w:rsidTr="0010395B">
        <w:tc>
          <w:tcPr>
            <w:tcW w:w="0" w:type="auto"/>
          </w:tcPr>
          <w:p w14:paraId="6EA65EE4" w14:textId="77777777" w:rsidR="00721C42" w:rsidRDefault="00721C42" w:rsidP="0029162B">
            <w:pPr>
              <w:pStyle w:val="ListParagraph"/>
              <w:numPr>
                <w:ilvl w:val="0"/>
                <w:numId w:val="1"/>
              </w:numPr>
              <w:spacing w:line="240" w:lineRule="auto"/>
            </w:pPr>
          </w:p>
        </w:tc>
        <w:tc>
          <w:tcPr>
            <w:tcW w:w="0" w:type="auto"/>
          </w:tcPr>
          <w:p w14:paraId="7F935586" w14:textId="77777777" w:rsidR="00721C42" w:rsidRDefault="00336502" w:rsidP="0029162B">
            <w:pPr>
              <w:spacing w:line="240" w:lineRule="auto"/>
              <w:ind w:firstLine="0"/>
            </w:pPr>
            <w:r>
              <w:t>Polar difference in the quality of the language in the two sections of the same answer.</w:t>
            </w:r>
          </w:p>
        </w:tc>
      </w:tr>
      <w:tr w:rsidR="00336502" w14:paraId="7178E276" w14:textId="77777777" w:rsidTr="0010395B">
        <w:tc>
          <w:tcPr>
            <w:tcW w:w="0" w:type="auto"/>
          </w:tcPr>
          <w:p w14:paraId="38CDC58B" w14:textId="77777777" w:rsidR="00336502" w:rsidRDefault="00336502" w:rsidP="0029162B">
            <w:pPr>
              <w:pStyle w:val="ListParagraph"/>
              <w:numPr>
                <w:ilvl w:val="0"/>
                <w:numId w:val="1"/>
              </w:numPr>
              <w:spacing w:line="240" w:lineRule="auto"/>
            </w:pPr>
          </w:p>
        </w:tc>
        <w:tc>
          <w:tcPr>
            <w:tcW w:w="0" w:type="auto"/>
          </w:tcPr>
          <w:p w14:paraId="492026AF" w14:textId="77777777" w:rsidR="00336502" w:rsidRDefault="00336502" w:rsidP="0029162B">
            <w:pPr>
              <w:spacing w:line="240" w:lineRule="auto"/>
              <w:ind w:firstLine="0"/>
            </w:pPr>
            <w:r>
              <w:t xml:space="preserve">Two questions requiring the same answer (the answer being the complete answer for </w:t>
            </w:r>
            <w:r w:rsidR="00B174E8">
              <w:t xml:space="preserve">the short-answer </w:t>
            </w:r>
            <w:r>
              <w:t xml:space="preserve">question </w:t>
            </w:r>
            <w:r w:rsidR="003E4913">
              <w:t xml:space="preserve">but </w:t>
            </w:r>
            <w:r w:rsidR="00B174E8">
              <w:t>only the part of the long-answer question). Several students writing exactly the same answer in bullet forms to the short-answer question but only one or two students writing the same as part of the long-answer question.</w:t>
            </w:r>
          </w:p>
        </w:tc>
      </w:tr>
      <w:tr w:rsidR="00336502" w14:paraId="6E2ED582" w14:textId="77777777" w:rsidTr="0010395B">
        <w:tc>
          <w:tcPr>
            <w:tcW w:w="0" w:type="auto"/>
          </w:tcPr>
          <w:p w14:paraId="4594AF5E" w14:textId="77777777" w:rsidR="00336502" w:rsidRDefault="00336502" w:rsidP="0029162B">
            <w:pPr>
              <w:pStyle w:val="ListParagraph"/>
              <w:numPr>
                <w:ilvl w:val="0"/>
                <w:numId w:val="1"/>
              </w:numPr>
              <w:spacing w:line="240" w:lineRule="auto"/>
            </w:pPr>
          </w:p>
        </w:tc>
        <w:tc>
          <w:tcPr>
            <w:tcW w:w="0" w:type="auto"/>
          </w:tcPr>
          <w:p w14:paraId="74189591" w14:textId="77777777" w:rsidR="00336502" w:rsidRDefault="00E44033" w:rsidP="0029162B">
            <w:pPr>
              <w:spacing w:line="240" w:lineRule="auto"/>
              <w:ind w:firstLine="0"/>
            </w:pPr>
            <w:r>
              <w:t xml:space="preserve">Almost exactly the same but wrong answer to a question repeated in several answer sheets. </w:t>
            </w:r>
          </w:p>
        </w:tc>
      </w:tr>
      <w:tr w:rsidR="00937CFD" w14:paraId="238B616A" w14:textId="77777777" w:rsidTr="0010395B">
        <w:tc>
          <w:tcPr>
            <w:tcW w:w="0" w:type="auto"/>
          </w:tcPr>
          <w:p w14:paraId="15C1C38E" w14:textId="77777777" w:rsidR="00937CFD" w:rsidRDefault="00937CFD" w:rsidP="0029162B">
            <w:pPr>
              <w:pStyle w:val="ListParagraph"/>
              <w:numPr>
                <w:ilvl w:val="0"/>
                <w:numId w:val="1"/>
              </w:numPr>
              <w:spacing w:line="240" w:lineRule="auto"/>
            </w:pPr>
          </w:p>
        </w:tc>
        <w:tc>
          <w:tcPr>
            <w:tcW w:w="0" w:type="auto"/>
          </w:tcPr>
          <w:p w14:paraId="4577E4A5" w14:textId="77777777" w:rsidR="00937CFD" w:rsidRDefault="00F06C4E" w:rsidP="0029162B">
            <w:pPr>
              <w:spacing w:line="240" w:lineRule="auto"/>
              <w:ind w:firstLine="0"/>
            </w:pPr>
            <w:r>
              <w:t>Almost all the items in “o</w:t>
            </w:r>
            <w:r w:rsidR="00937CFD">
              <w:t>bjective</w:t>
            </w:r>
            <w:r>
              <w:t>”</w:t>
            </w:r>
            <w:r w:rsidR="00937CFD">
              <w:t xml:space="preserve"> </w:t>
            </w:r>
            <w:r>
              <w:t>section attempted corr</w:t>
            </w:r>
            <w:r w:rsidR="008D14BE">
              <w:t xml:space="preserve">ectly by almost all students from </w:t>
            </w:r>
            <w:r>
              <w:t>an exam centre whereas almost the reversed in “subjective” section.</w:t>
            </w:r>
          </w:p>
        </w:tc>
      </w:tr>
    </w:tbl>
    <w:p w14:paraId="3524E052" w14:textId="77777777" w:rsidR="00B75FED" w:rsidRDefault="00B75FED" w:rsidP="009F1F66">
      <w:pPr>
        <w:autoSpaceDE w:val="0"/>
        <w:autoSpaceDN w:val="0"/>
        <w:adjustRightInd w:val="0"/>
        <w:spacing w:line="240" w:lineRule="auto"/>
        <w:ind w:firstLine="0"/>
      </w:pPr>
    </w:p>
    <w:p w14:paraId="62BE8832" w14:textId="77777777" w:rsidR="003E4913" w:rsidRDefault="00520EDA" w:rsidP="0003294E">
      <w:r>
        <w:lastRenderedPageBreak/>
        <w:t>The second option can</w:t>
      </w:r>
      <w:r w:rsidR="000835A5">
        <w:t xml:space="preserve"> also </w:t>
      </w:r>
      <w:r>
        <w:t xml:space="preserve">be taken as </w:t>
      </w:r>
      <w:r w:rsidR="000F5C0A">
        <w:t>one of the general procedures for</w:t>
      </w:r>
      <w:r w:rsidR="000835A5">
        <w:t xml:space="preserve"> establishin</w:t>
      </w:r>
      <w:r w:rsidR="000F5C0A">
        <w:t>g the reliability</w:t>
      </w:r>
      <w:r w:rsidR="000835A5">
        <w:t xml:space="preserve"> of a test – the </w:t>
      </w:r>
      <w:r w:rsidR="000F5C0A" w:rsidRPr="000F5C0A">
        <w:t>stability reliability (Bachman, 2004; Ingram, 1977)</w:t>
      </w:r>
      <w:r w:rsidR="000835A5" w:rsidRPr="000F5C0A">
        <w:t>.</w:t>
      </w:r>
      <w:r w:rsidR="000835A5">
        <w:t xml:space="preserve"> </w:t>
      </w:r>
      <w:r w:rsidR="002F21F4">
        <w:t>Nonetheless, for this kind of validity the conditions need to be as uniform as possible in the administration of the test in question a</w:t>
      </w:r>
      <w:r w:rsidR="007A6649">
        <w:t xml:space="preserve">nd also that the feasibility for re-administering the test to all the examinees </w:t>
      </w:r>
      <w:r w:rsidR="00965E7F">
        <w:t xml:space="preserve">suspected of being </w:t>
      </w:r>
      <w:r w:rsidR="007A6649">
        <w:t>involved in malpractice is another problem.</w:t>
      </w:r>
      <w:r w:rsidR="00965E7F">
        <w:t xml:space="preserve"> Sampling, as in </w:t>
      </w:r>
      <w:r w:rsidR="0003613D">
        <w:t>the validity procedure, yields no expected results until and unless the validity of the interpretation of the test is sought for that way and decisions of different sorts are based on the degree of the validity of the test. Given the developmental s</w:t>
      </w:r>
      <w:r w:rsidR="00B62097">
        <w:t xml:space="preserve">tage of testing and assessment in the country at present, the issue of estimating the validity of a test, the interpretation of the degree of validity and the enforcement of validity decisions at the practical level seem so distant to be reached that we have a lot to work on in this direction. </w:t>
      </w:r>
      <w:r w:rsidR="000835A5">
        <w:t>Both the options doubtlessl</w:t>
      </w:r>
      <w:r w:rsidR="004C2F64">
        <w:t>y result in a number of deci</w:t>
      </w:r>
      <w:r w:rsidR="006E1308">
        <w:t>sions to be made at the policy and the practice</w:t>
      </w:r>
      <w:r w:rsidR="004C2F64">
        <w:t xml:space="preserve"> levels. Additionally, the incurring financial pressures are another </w:t>
      </w:r>
      <w:r w:rsidR="006D6C60">
        <w:t>challenge to cope with.</w:t>
      </w:r>
    </w:p>
    <w:p w14:paraId="427BE145" w14:textId="77777777" w:rsidR="006E1308" w:rsidRDefault="006E1308" w:rsidP="0003294E">
      <w:r>
        <w:t xml:space="preserve">Then, what could be the </w:t>
      </w:r>
      <w:r w:rsidR="007F5A28">
        <w:t>solution that is both f</w:t>
      </w:r>
      <w:r w:rsidR="006A6AB1">
        <w:t>easible and agreeable amidst the</w:t>
      </w:r>
      <w:r w:rsidR="007F5A28">
        <w:t xml:space="preserve"> </w:t>
      </w:r>
      <w:r w:rsidR="006A6AB1">
        <w:t xml:space="preserve">individuals and stakeholder groups that are strongly convinced of the fact that </w:t>
      </w:r>
      <w:r w:rsidR="007F5A28">
        <w:t>examination malpractices</w:t>
      </w:r>
      <w:r w:rsidR="006A6AB1">
        <w:t xml:space="preserve"> must be curbed at all costs</w:t>
      </w:r>
      <w:r w:rsidR="007F5A28">
        <w:t>?</w:t>
      </w:r>
      <w:r w:rsidR="00DC4860">
        <w:t xml:space="preserve"> One of the easy solutions might be suggested: well, let’s make</w:t>
      </w:r>
      <w:r w:rsidR="00B00D98" w:rsidRPr="00B00D98">
        <w:t xml:space="preserve"> </w:t>
      </w:r>
      <w:r w:rsidR="00B00D98">
        <w:t xml:space="preserve">the examination centres, </w:t>
      </w:r>
      <w:r w:rsidR="00DC4860">
        <w:t xml:space="preserve">the people overseeing the performance </w:t>
      </w:r>
      <w:r w:rsidR="00B00D98">
        <w:t>of examinees, and the examinees themselves more accountable</w:t>
      </w:r>
      <w:r w:rsidR="00DC4860">
        <w:t xml:space="preserve"> </w:t>
      </w:r>
      <w:r w:rsidR="00B00D98">
        <w:t xml:space="preserve">in whatever way it is possible – </w:t>
      </w:r>
      <w:r w:rsidR="00B81527">
        <w:t xml:space="preserve">amongst other several parties, the three having a crucial role in deterring examination malpractice in the specific and immediate context. </w:t>
      </w:r>
      <w:r w:rsidR="008D14BE">
        <w:t xml:space="preserve">This is what is </w:t>
      </w:r>
      <w:r w:rsidR="00D97728">
        <w:t xml:space="preserve">the usual mode of functioning and this is what is expected by those who claim that scorers lack any right to judge whether or not examinee </w:t>
      </w:r>
      <w:r w:rsidR="007E30AC">
        <w:t xml:space="preserve">responses are the result of malpractices as well. The </w:t>
      </w:r>
      <w:r w:rsidR="00EA322A">
        <w:t>line</w:t>
      </w:r>
      <w:r w:rsidR="007E30AC">
        <w:t xml:space="preserve"> of thought could be justified only had the instances of examinee behaviour not occurred in answer sheets, as displayed in Table 1.</w:t>
      </w:r>
      <w:r w:rsidR="00B81527">
        <w:t xml:space="preserve"> </w:t>
      </w:r>
      <w:r w:rsidR="00EA322A">
        <w:t>B</w:t>
      </w:r>
      <w:r w:rsidR="00B81527">
        <w:t>ut the issue that is being dealt with in this paper is the resul</w:t>
      </w:r>
      <w:r w:rsidR="00662A25">
        <w:t xml:space="preserve">t of our inability to reach that </w:t>
      </w:r>
      <w:r w:rsidR="00662A25">
        <w:lastRenderedPageBreak/>
        <w:t>heig</w:t>
      </w:r>
      <w:r w:rsidR="003969E5">
        <w:t xml:space="preserve">ht of accountability – the fact evident in instances of examination malpractices that have recurrently surfaced publicly even in </w:t>
      </w:r>
      <w:r w:rsidR="00583D85">
        <w:t xml:space="preserve">the </w:t>
      </w:r>
      <w:r w:rsidR="003969E5">
        <w:t>media</w:t>
      </w:r>
      <w:r w:rsidR="00D97728">
        <w:t xml:space="preserve">. </w:t>
      </w:r>
    </w:p>
    <w:p w14:paraId="257DFE9E" w14:textId="77777777" w:rsidR="00C0799D" w:rsidRDefault="00BB3C93" w:rsidP="0003294E">
      <w:r>
        <w:t xml:space="preserve">Chapter 66 of </w:t>
      </w:r>
      <w:r w:rsidRPr="0011119F">
        <w:t>Regulation</w:t>
      </w:r>
      <w:r>
        <w:t>s</w:t>
      </w:r>
      <w:r w:rsidRPr="0011119F">
        <w:t xml:space="preserve"> for Tribhuvan University Organization and Administration – 1994 and </w:t>
      </w:r>
      <w:r w:rsidR="00313DBD">
        <w:t>Chapter 9 of TUEMOG</w:t>
      </w:r>
      <w:r w:rsidR="008637A3">
        <w:t xml:space="preserve"> inclu</w:t>
      </w:r>
      <w:r w:rsidR="005A01A4">
        <w:t>de</w:t>
      </w:r>
      <w:r w:rsidR="00145562">
        <w:t xml:space="preserve"> </w:t>
      </w:r>
      <w:r w:rsidR="005A01A4">
        <w:t xml:space="preserve">only </w:t>
      </w:r>
      <w:r w:rsidR="00145562">
        <w:t xml:space="preserve">a few </w:t>
      </w:r>
      <w:r w:rsidR="005A01A4">
        <w:t xml:space="preserve">possibilities of examination malpractices and the resulting sanctions. </w:t>
      </w:r>
      <w:r w:rsidR="00FA766C">
        <w:t>Regarding the possible malpractice in written responses, f</w:t>
      </w:r>
      <w:r w:rsidR="005A01A4">
        <w:t xml:space="preserve">or instance, </w:t>
      </w:r>
      <w:r w:rsidR="00FA766C">
        <w:t xml:space="preserve">one of the possibilities as stated in </w:t>
      </w:r>
      <w:r w:rsidR="00313DBD">
        <w:t>Clause 9.2.1</w:t>
      </w:r>
      <w:r w:rsidR="00FA766C">
        <w:t xml:space="preserve"> of TUEMOG is that the subjective answers of two or mo</w:t>
      </w:r>
      <w:r w:rsidR="00C36D3D">
        <w:t xml:space="preserve">re examinees might read exactly the same and, in such a case, </w:t>
      </w:r>
      <w:r w:rsidR="00CC6BFE">
        <w:t xml:space="preserve">the results </w:t>
      </w:r>
      <w:r w:rsidR="00C36D3D">
        <w:t>of the examinees might be cancelled</w:t>
      </w:r>
      <w:r w:rsidR="00CC6BFE" w:rsidRPr="00CC6BFE">
        <w:t xml:space="preserve"> </w:t>
      </w:r>
      <w:r w:rsidR="00CC6BFE">
        <w:t>for one year</w:t>
      </w:r>
      <w:r w:rsidR="00C36D3D">
        <w:t>.</w:t>
      </w:r>
      <w:r w:rsidR="00CC6BFE">
        <w:t xml:space="preserve"> Thus, as it is the scorer who </w:t>
      </w:r>
      <w:r w:rsidR="00187DA3">
        <w:t xml:space="preserve">goes through the written responses and knows whether or not the two or more subjective answers read the same, </w:t>
      </w:r>
      <w:r w:rsidR="00CC6BFE">
        <w:t>TUEMOG implicitly states the right of the scorer in t</w:t>
      </w:r>
      <w:r w:rsidR="00BE6CA0">
        <w:t>reating the malpractices palpably clear</w:t>
      </w:r>
      <w:r w:rsidR="00CC6BFE">
        <w:t xml:space="preserve"> in the answer sheets of examinees.</w:t>
      </w:r>
      <w:r w:rsidR="00187DA3">
        <w:t xml:space="preserve"> The line of argument that advocates “no right” of scorers in judging </w:t>
      </w:r>
      <w:r w:rsidR="00D9183E">
        <w:t>whether or not the written responses of examinees might also be the result of some kind of malpractice is obviously nullified by the TUEMOG provisions.</w:t>
      </w:r>
    </w:p>
    <w:p w14:paraId="6D9DB21C" w14:textId="77777777" w:rsidR="00E768A6" w:rsidRDefault="00D9183E" w:rsidP="0003294E">
      <w:r>
        <w:t xml:space="preserve">The issue </w:t>
      </w:r>
      <w:r w:rsidR="00C0799D">
        <w:t>is, then, clear in that scorers do have a crucial role in curbing examination malpractices. Nonetheless, given the gravity of the issue, things need to be handled with care. As stated earlier, examinees alone are not accountable fo</w:t>
      </w:r>
      <w:r w:rsidR="00A73FBB">
        <w:t>r examin</w:t>
      </w:r>
      <w:r w:rsidR="00C0799D">
        <w:t xml:space="preserve">ation </w:t>
      </w:r>
      <w:r w:rsidR="00A73FBB">
        <w:t xml:space="preserve">malpractices. Rather </w:t>
      </w:r>
      <w:r w:rsidR="00B5296B">
        <w:t>the malpractices are the byproduct</w:t>
      </w:r>
      <w:r w:rsidR="00A73FBB">
        <w:t xml:space="preserve"> of a number of factors including examinee motivation that has been inculcated by socioeconomic and po</w:t>
      </w:r>
      <w:r w:rsidR="00B5296B">
        <w:t>litical air</w:t>
      </w:r>
      <w:r w:rsidR="00A73FBB">
        <w:t xml:space="preserve"> as well as the moral values </w:t>
      </w:r>
      <w:r w:rsidR="00B5296B">
        <w:t xml:space="preserve">of the society in question, dereliction of different stakeholders concerned with conducting examinations, and so forth. </w:t>
      </w:r>
      <w:r w:rsidR="00C020D2">
        <w:t>All should be treated for their share in examination malpractices including examinees, invigilators, scorers, and so on.</w:t>
      </w:r>
      <w:r w:rsidR="009521B9">
        <w:t xml:space="preserve"> The issue under immediate consideration, however, requires scorers to take the responsibility seriously</w:t>
      </w:r>
      <w:r w:rsidR="00F52268">
        <w:t xml:space="preserve"> and act accordingly. It needs extra thought, time and effort on the scorer side to convince all including the judiciary in a court in the light of the existing provisions</w:t>
      </w:r>
      <w:r w:rsidR="00AD3D39">
        <w:t xml:space="preserve"> for appeal</w:t>
      </w:r>
      <w:r w:rsidR="00F52268">
        <w:t xml:space="preserve"> of the </w:t>
      </w:r>
      <w:r w:rsidR="00F52268">
        <w:lastRenderedPageBreak/>
        <w:t>Office of the Controller of Examinations</w:t>
      </w:r>
      <w:r w:rsidR="00546E36">
        <w:t xml:space="preserve"> (OCE)</w:t>
      </w:r>
      <w:r w:rsidR="00F52268">
        <w:t xml:space="preserve"> that the scoring has been carried out with utmost care </w:t>
      </w:r>
      <w:r w:rsidR="00AD3D39">
        <w:t xml:space="preserve">and endeavour. For this, </w:t>
      </w:r>
      <w:r w:rsidR="00546E36">
        <w:t xml:space="preserve">it is desirable to expect that OCE, firstly, consumes all its efforts deterring any examination malpractice in the examination centre itself, and, secondly, it facilitates scorers by developing a set of scoring rubrics that also address the issue of </w:t>
      </w:r>
      <w:r w:rsidR="001F0D43">
        <w:t>possible malpractices that might occur despite the attempts to curb them in examination centres.</w:t>
      </w:r>
    </w:p>
    <w:p w14:paraId="55C6DDA6" w14:textId="77777777" w:rsidR="0049605E" w:rsidRDefault="001F0D43" w:rsidP="0003294E">
      <w:pPr>
        <w:pStyle w:val="Heading2"/>
      </w:pPr>
      <w:r>
        <w:t>Conclusion</w:t>
      </w:r>
    </w:p>
    <w:p w14:paraId="4931FE59" w14:textId="77777777" w:rsidR="0049605E" w:rsidRPr="0049605E" w:rsidRDefault="0049605E" w:rsidP="0003294E">
      <w:pPr>
        <w:pStyle w:val="BodyTextIndent2"/>
        <w:spacing w:line="480" w:lineRule="auto"/>
      </w:pPr>
      <w:r>
        <w:t>This paper</w:t>
      </w:r>
      <w:r w:rsidR="00DF5CFF">
        <w:t>,</w:t>
      </w:r>
      <w:r>
        <w:t xml:space="preserve"> born out of </w:t>
      </w:r>
      <w:r w:rsidR="00910DA1" w:rsidRPr="000C74BB">
        <w:t xml:space="preserve">our </w:t>
      </w:r>
      <w:r>
        <w:t>encounters with the competing lines of arguments regarding the role of scorers in curbing examinati</w:t>
      </w:r>
      <w:r w:rsidR="00486E9D">
        <w:t>on malpractices evident in answer sheets</w:t>
      </w:r>
      <w:r w:rsidR="00DF5CFF">
        <w:t>,</w:t>
      </w:r>
      <w:r w:rsidR="00486E9D">
        <w:t xml:space="preserve"> presents some evidence for the room that allows the scorer to exercise his/her careful and evidence-based judgement so as to treat </w:t>
      </w:r>
      <w:r w:rsidR="00DF5CFF">
        <w:t>the malpractices that creep into the answer sheets of examinees due to different reasons and circumstances</w:t>
      </w:r>
      <w:r w:rsidR="00486E9D">
        <w:t xml:space="preserve">. </w:t>
      </w:r>
      <w:r w:rsidR="007F212A">
        <w:t>For this line of thought to function effectively, i</w:t>
      </w:r>
      <w:r w:rsidR="00486E9D">
        <w:t xml:space="preserve">t is </w:t>
      </w:r>
      <w:r w:rsidR="00DF5CFF">
        <w:t>doubtlessly mandatory on the part of OCE to make the exi</w:t>
      </w:r>
      <w:r w:rsidR="00AC6302">
        <w:t xml:space="preserve">sting provisions that are </w:t>
      </w:r>
      <w:r w:rsidR="00DF5CFF">
        <w:t xml:space="preserve">only suggestive more explicit </w:t>
      </w:r>
      <w:r w:rsidR="00AC6302">
        <w:t xml:space="preserve">and to </w:t>
      </w:r>
      <w:r w:rsidR="00DF5CFF">
        <w:t>develo</w:t>
      </w:r>
      <w:r w:rsidR="00AC6302">
        <w:t xml:space="preserve">p a set of well-worked on scoring rubrics so as to address the issue of curbing examination malpractices. In addition, </w:t>
      </w:r>
      <w:r w:rsidR="007F212A">
        <w:t xml:space="preserve">scorers </w:t>
      </w:r>
      <w:r w:rsidR="00D14A80">
        <w:t xml:space="preserve">burdened with more grave responsibility of careful judgement that might possibly disadvantage examinees need to function in a different frame of mind than they are functioning in the prevailing circumstances – with more care, </w:t>
      </w:r>
      <w:r w:rsidR="00E46348">
        <w:t>endeavor and accountability.</w:t>
      </w:r>
      <w:r w:rsidR="00D14A80">
        <w:t xml:space="preserve"> </w:t>
      </w:r>
      <w:r w:rsidR="00E46348">
        <w:t xml:space="preserve">Furthermore, it is also necessary for the concerned to be convinced of the fact that all this is for the </w:t>
      </w:r>
      <w:r w:rsidR="002F70E6">
        <w:t xml:space="preserve">good health of the </w:t>
      </w:r>
      <w:r w:rsidR="00807BB6">
        <w:t>educational community</w:t>
      </w:r>
      <w:r w:rsidR="00E46348">
        <w:t xml:space="preserve"> at large.</w:t>
      </w:r>
    </w:p>
    <w:p w14:paraId="1DF77C64" w14:textId="77777777" w:rsidR="003E4913" w:rsidRDefault="003E4913" w:rsidP="0003294E">
      <w:pPr>
        <w:pStyle w:val="Heading1"/>
        <w:spacing w:line="480" w:lineRule="auto"/>
      </w:pPr>
    </w:p>
    <w:p w14:paraId="3A6BDCEC" w14:textId="77777777" w:rsidR="00B75FED" w:rsidRDefault="00B75FED" w:rsidP="0003294E">
      <w:pPr>
        <w:pStyle w:val="Heading1"/>
        <w:spacing w:line="480" w:lineRule="auto"/>
      </w:pPr>
      <w:r>
        <w:t xml:space="preserve">References </w:t>
      </w:r>
    </w:p>
    <w:p w14:paraId="57072658" w14:textId="77777777" w:rsidR="006B6B0F" w:rsidRPr="00020615" w:rsidRDefault="006B6B0F" w:rsidP="0003294E">
      <w:pPr>
        <w:autoSpaceDE w:val="0"/>
        <w:autoSpaceDN w:val="0"/>
        <w:adjustRightInd w:val="0"/>
        <w:ind w:left="720" w:hanging="720"/>
        <w:rPr>
          <w:bCs/>
        </w:rPr>
      </w:pPr>
      <w:r w:rsidRPr="00020615">
        <w:rPr>
          <w:bCs/>
        </w:rPr>
        <w:t>Adeyemi</w:t>
      </w:r>
      <w:r>
        <w:rPr>
          <w:bCs/>
        </w:rPr>
        <w:t>, T. O.</w:t>
      </w:r>
      <w:r w:rsidRPr="00020615">
        <w:rPr>
          <w:bCs/>
        </w:rPr>
        <w:t xml:space="preserve"> (2010). Examination malp</w:t>
      </w:r>
      <w:r>
        <w:rPr>
          <w:bCs/>
        </w:rPr>
        <w:t xml:space="preserve">ractices among secondary school </w:t>
      </w:r>
      <w:r w:rsidRPr="00020615">
        <w:rPr>
          <w:bCs/>
        </w:rPr>
        <w:t>students in Ondo State, Nigeria: Perceived causes and</w:t>
      </w:r>
      <w:r>
        <w:rPr>
          <w:bCs/>
        </w:rPr>
        <w:t xml:space="preserve"> </w:t>
      </w:r>
      <w:r w:rsidRPr="00020615">
        <w:rPr>
          <w:bCs/>
        </w:rPr>
        <w:t xml:space="preserve">possible solutions. </w:t>
      </w:r>
      <w:r w:rsidRPr="001C47A7">
        <w:rPr>
          <w:bCs/>
          <w:i/>
        </w:rPr>
        <w:t>Journal of Education Administration and Policy Studies, 2</w:t>
      </w:r>
      <w:r>
        <w:rPr>
          <w:bCs/>
        </w:rPr>
        <w:t>(3), 48-55.</w:t>
      </w:r>
    </w:p>
    <w:p w14:paraId="4856EB4A" w14:textId="77777777" w:rsidR="000F5C0A" w:rsidRDefault="006B6B0F" w:rsidP="0003294E">
      <w:pPr>
        <w:autoSpaceDE w:val="0"/>
        <w:autoSpaceDN w:val="0"/>
        <w:adjustRightInd w:val="0"/>
        <w:ind w:left="720" w:hanging="720"/>
        <w:rPr>
          <w:color w:val="000000"/>
          <w:sz w:val="23"/>
          <w:szCs w:val="23"/>
        </w:rPr>
      </w:pPr>
      <w:r w:rsidRPr="0016453C">
        <w:lastRenderedPageBreak/>
        <w:t xml:space="preserve">Anzene, S. J. (2014). </w:t>
      </w:r>
      <w:r w:rsidRPr="0016453C">
        <w:rPr>
          <w:bCs/>
        </w:rPr>
        <w:t xml:space="preserve">Trends in examination malpractice in Nigerian educational system and its effects on the socio-economic and political development of Nigeria. </w:t>
      </w:r>
      <w:r w:rsidRPr="0016453C">
        <w:rPr>
          <w:bCs/>
          <w:i/>
          <w:iCs/>
        </w:rPr>
        <w:t>Asian Journal of Humanities and Social Sciences (AJHSS), 2</w:t>
      </w:r>
      <w:r w:rsidRPr="0016453C">
        <w:rPr>
          <w:bCs/>
          <w:iCs/>
        </w:rPr>
        <w:t>(3),1-8.</w:t>
      </w:r>
    </w:p>
    <w:p w14:paraId="498D503F" w14:textId="77777777" w:rsidR="003074ED" w:rsidRDefault="000F5C0A" w:rsidP="00452095">
      <w:pPr>
        <w:autoSpaceDE w:val="0"/>
        <w:autoSpaceDN w:val="0"/>
        <w:adjustRightInd w:val="0"/>
        <w:ind w:left="720" w:hanging="720"/>
        <w:rPr>
          <w:sz w:val="23"/>
          <w:szCs w:val="23"/>
        </w:rPr>
      </w:pPr>
      <w:r w:rsidRPr="000F5C0A">
        <w:rPr>
          <w:bCs/>
          <w:iCs/>
        </w:rPr>
        <w:t xml:space="preserve">Bachman, L. F. (2004). </w:t>
      </w:r>
      <w:r w:rsidRPr="000F5C0A">
        <w:rPr>
          <w:bCs/>
          <w:i/>
          <w:iCs/>
        </w:rPr>
        <w:t>Statistical analyses for language assessment</w:t>
      </w:r>
      <w:r w:rsidRPr="000F5C0A">
        <w:rPr>
          <w:bCs/>
          <w:iCs/>
        </w:rPr>
        <w:t>. Cambridge: Cambridge University Press.</w:t>
      </w:r>
    </w:p>
    <w:p w14:paraId="4D4C5CF9" w14:textId="77777777" w:rsidR="000F5C0A" w:rsidRDefault="003074ED" w:rsidP="00452095">
      <w:pPr>
        <w:autoSpaceDE w:val="0"/>
        <w:autoSpaceDN w:val="0"/>
        <w:adjustRightInd w:val="0"/>
        <w:ind w:left="720" w:hanging="720"/>
        <w:rPr>
          <w:bCs/>
          <w:iCs/>
        </w:rPr>
      </w:pPr>
      <w:r>
        <w:rPr>
          <w:sz w:val="23"/>
          <w:szCs w:val="23"/>
        </w:rPr>
        <w:t xml:space="preserve">Basnyat, B. K. (2006). Can revision techniques change examination bane into boon? </w:t>
      </w:r>
      <w:r>
        <w:rPr>
          <w:i/>
          <w:iCs/>
          <w:sz w:val="23"/>
          <w:szCs w:val="23"/>
        </w:rPr>
        <w:t xml:space="preserve">Young Voices in ELT, </w:t>
      </w:r>
      <w:r>
        <w:rPr>
          <w:sz w:val="23"/>
          <w:szCs w:val="23"/>
        </w:rPr>
        <w:t>5, 141-142.</w:t>
      </w:r>
    </w:p>
    <w:p w14:paraId="05979F5E" w14:textId="77777777" w:rsidR="006B6B0F" w:rsidRPr="0016453C" w:rsidRDefault="006B6B0F" w:rsidP="0003294E">
      <w:pPr>
        <w:autoSpaceDE w:val="0"/>
        <w:autoSpaceDN w:val="0"/>
        <w:adjustRightInd w:val="0"/>
        <w:ind w:left="720" w:hanging="720"/>
      </w:pPr>
      <w:r w:rsidRPr="0016453C">
        <w:t xml:space="preserve">Fulcher, G., &amp; Davidson, F. (2007). </w:t>
      </w:r>
      <w:r w:rsidRPr="0016453C">
        <w:rPr>
          <w:i/>
          <w:iCs/>
        </w:rPr>
        <w:t>Language testing and assessment: An advanced resource book</w:t>
      </w:r>
      <w:r w:rsidRPr="0016453C">
        <w:t>. London: Routledge</w:t>
      </w:r>
    </w:p>
    <w:p w14:paraId="24C983A3" w14:textId="77777777" w:rsidR="00452095" w:rsidRDefault="006B6B0F" w:rsidP="0003294E">
      <w:pPr>
        <w:autoSpaceDE w:val="0"/>
        <w:autoSpaceDN w:val="0"/>
        <w:adjustRightInd w:val="0"/>
        <w:ind w:left="720" w:hanging="720"/>
        <w:rPr>
          <w:color w:val="000000"/>
          <w:sz w:val="23"/>
          <w:szCs w:val="23"/>
        </w:rPr>
      </w:pPr>
      <w:r w:rsidRPr="0016453C">
        <w:t xml:space="preserve">Imran, A. M. &amp; Ayobami, O. R. (2011). Academic dishonesty among tertiary institution students: An exploration of the societal influences using SEM analysis. </w:t>
      </w:r>
      <w:r w:rsidRPr="0016453C">
        <w:rPr>
          <w:bCs/>
          <w:i/>
        </w:rPr>
        <w:t>International Journal of Education</w:t>
      </w:r>
      <w:r w:rsidRPr="0016453C">
        <w:rPr>
          <w:i/>
        </w:rPr>
        <w:t>, 3</w:t>
      </w:r>
      <w:r w:rsidRPr="0016453C">
        <w:t>(2),1-15.</w:t>
      </w:r>
    </w:p>
    <w:p w14:paraId="61CBB750" w14:textId="77777777" w:rsidR="006B6B0F" w:rsidRPr="0016453C" w:rsidRDefault="00452095" w:rsidP="0003294E">
      <w:pPr>
        <w:autoSpaceDE w:val="0"/>
        <w:autoSpaceDN w:val="0"/>
        <w:adjustRightInd w:val="0"/>
        <w:ind w:left="720" w:hanging="720"/>
      </w:pPr>
      <w:r w:rsidRPr="00452095">
        <w:t xml:space="preserve">Ingram, E. (1977). Basic concepts in testing. In J.P.B. Allen, &amp; A. Davies, (Eds.), </w:t>
      </w:r>
      <w:r w:rsidRPr="00452095">
        <w:rPr>
          <w:i/>
          <w:iCs/>
        </w:rPr>
        <w:t xml:space="preserve">Testing and experimental methods </w:t>
      </w:r>
      <w:r w:rsidRPr="00452095">
        <w:t>(pp. 11-37). London: Oxford University Press.</w:t>
      </w:r>
    </w:p>
    <w:p w14:paraId="5F44739E" w14:textId="77777777" w:rsidR="006B6B0F" w:rsidRDefault="006B6B0F" w:rsidP="0003294E">
      <w:pPr>
        <w:autoSpaceDE w:val="0"/>
        <w:autoSpaceDN w:val="0"/>
        <w:adjustRightInd w:val="0"/>
        <w:ind w:left="720" w:hanging="720"/>
      </w:pPr>
      <w:r w:rsidRPr="0016453C">
        <w:rPr>
          <w:rFonts w:ascii="ArialUnicodeMS" w:hAnsi="ArialUnicodeMS" w:cs="ArialUnicodeMS"/>
        </w:rPr>
        <w:t xml:space="preserve"> </w:t>
      </w:r>
      <w:r w:rsidRPr="0016453C">
        <w:t xml:space="preserve">Kaufman, H. E. (2008). Moral and ethical issues related to academic dishonesty on college campuses. </w:t>
      </w:r>
      <w:r w:rsidRPr="0016453C">
        <w:rPr>
          <w:i/>
        </w:rPr>
        <w:t>Journal of College and Character, 9</w:t>
      </w:r>
      <w:r w:rsidRPr="0016453C">
        <w:t>(5), 1-8. doi: 10.2202/1940-1639.1187</w:t>
      </w:r>
    </w:p>
    <w:p w14:paraId="60146264" w14:textId="77777777" w:rsidR="003074ED" w:rsidRPr="0016453C" w:rsidRDefault="003074ED" w:rsidP="0003294E">
      <w:pPr>
        <w:autoSpaceDE w:val="0"/>
        <w:autoSpaceDN w:val="0"/>
        <w:adjustRightInd w:val="0"/>
        <w:ind w:left="720" w:hanging="720"/>
      </w:pPr>
      <w:r>
        <w:rPr>
          <w:sz w:val="23"/>
          <w:szCs w:val="23"/>
        </w:rPr>
        <w:t xml:space="preserve">Khaniya, T.R. (2013). </w:t>
      </w:r>
      <w:r>
        <w:rPr>
          <w:i/>
          <w:iCs/>
          <w:sz w:val="23"/>
          <w:szCs w:val="23"/>
        </w:rPr>
        <w:t>Examination for enhanced learning</w:t>
      </w:r>
      <w:r>
        <w:rPr>
          <w:sz w:val="23"/>
          <w:szCs w:val="23"/>
        </w:rPr>
        <w:t>. Kathmandu: Educational and Developmental Service (EDSC) Pvt. Ltd.</w:t>
      </w:r>
    </w:p>
    <w:p w14:paraId="090F890C" w14:textId="77777777" w:rsidR="006B6B0F" w:rsidRDefault="006B6B0F" w:rsidP="0003294E">
      <w:pPr>
        <w:autoSpaceDE w:val="0"/>
        <w:autoSpaceDN w:val="0"/>
        <w:adjustRightInd w:val="0"/>
        <w:ind w:left="720" w:hanging="720"/>
      </w:pPr>
      <w:r w:rsidRPr="0016453C">
        <w:rPr>
          <w:bCs/>
          <w:iCs/>
        </w:rPr>
        <w:t xml:space="preserve">Onwuzo, O. G. U. (2014). Evolving innovative strategies for curbing examination malpractice in tertiary institutions in Nigeria. </w:t>
      </w:r>
      <w:r w:rsidRPr="0016453C">
        <w:rPr>
          <w:bCs/>
          <w:i/>
          <w:iCs/>
        </w:rPr>
        <w:t>Multidisciplinary Journal of Research Development, 22</w:t>
      </w:r>
      <w:r w:rsidRPr="0016453C">
        <w:rPr>
          <w:bCs/>
          <w:iCs/>
        </w:rPr>
        <w:t>(1).</w:t>
      </w:r>
      <w:r w:rsidRPr="0016453C">
        <w:rPr>
          <w:b/>
          <w:bCs/>
          <w:i/>
          <w:iCs/>
        </w:rPr>
        <w:t xml:space="preserve"> </w:t>
      </w:r>
      <w:r w:rsidRPr="0016453C">
        <w:rPr>
          <w:bCs/>
          <w:iCs/>
        </w:rPr>
        <w:t xml:space="preserve">Retrieved from </w:t>
      </w:r>
      <w:hyperlink r:id="rId8" w:history="1">
        <w:r w:rsidRPr="0016453C">
          <w:rPr>
            <w:rStyle w:val="Hyperlink"/>
            <w:color w:val="auto"/>
            <w:u w:val="none"/>
          </w:rPr>
          <w:t>https://pdfs.semanticscholar.org/1329/9e029a7b2abdd561f9b0d112ffba05a76bdd.pdf</w:t>
        </w:r>
      </w:hyperlink>
    </w:p>
    <w:p w14:paraId="3409485C" w14:textId="77777777" w:rsidR="00FB048E" w:rsidRDefault="006B6B0F" w:rsidP="0003294E">
      <w:pPr>
        <w:autoSpaceDE w:val="0"/>
        <w:autoSpaceDN w:val="0"/>
        <w:adjustRightInd w:val="0"/>
        <w:ind w:left="720" w:hanging="720"/>
        <w:rPr>
          <w:sz w:val="23"/>
          <w:szCs w:val="23"/>
        </w:rPr>
      </w:pPr>
      <w:r>
        <w:rPr>
          <w:sz w:val="23"/>
          <w:szCs w:val="23"/>
        </w:rPr>
        <w:t xml:space="preserve">Reynolds, C. R., Livingston, R. B., &amp; Willson, V. (2011). </w:t>
      </w:r>
      <w:r>
        <w:rPr>
          <w:i/>
          <w:iCs/>
          <w:sz w:val="23"/>
          <w:szCs w:val="23"/>
        </w:rPr>
        <w:t>Measurement and assessment in education</w:t>
      </w:r>
      <w:r>
        <w:rPr>
          <w:sz w:val="23"/>
          <w:szCs w:val="23"/>
        </w:rPr>
        <w:t>. New Delhi: PHI Learning Pvt. Ltd.</w:t>
      </w:r>
    </w:p>
    <w:p w14:paraId="6329B155" w14:textId="77777777" w:rsidR="003074ED" w:rsidRDefault="003074ED" w:rsidP="0003294E">
      <w:pPr>
        <w:autoSpaceDE w:val="0"/>
        <w:autoSpaceDN w:val="0"/>
        <w:adjustRightInd w:val="0"/>
        <w:ind w:left="720" w:hanging="720"/>
        <w:rPr>
          <w:sz w:val="23"/>
          <w:szCs w:val="23"/>
        </w:rPr>
      </w:pPr>
      <w:r>
        <w:rPr>
          <w:sz w:val="23"/>
          <w:szCs w:val="23"/>
        </w:rPr>
        <w:t>R</w:t>
      </w:r>
      <w:r w:rsidR="006545B5">
        <w:rPr>
          <w:sz w:val="23"/>
          <w:szCs w:val="23"/>
        </w:rPr>
        <w:t>ijal</w:t>
      </w:r>
      <w:r>
        <w:rPr>
          <w:sz w:val="23"/>
          <w:szCs w:val="23"/>
        </w:rPr>
        <w:t>, R. R. (2018). Who is to blame.</w:t>
      </w:r>
      <w:r w:rsidR="006545B5">
        <w:rPr>
          <w:sz w:val="23"/>
          <w:szCs w:val="23"/>
        </w:rPr>
        <w:t xml:space="preserve"> </w:t>
      </w:r>
      <w:r w:rsidR="006545B5" w:rsidRPr="006545B5">
        <w:rPr>
          <w:i/>
          <w:sz w:val="23"/>
          <w:szCs w:val="23"/>
        </w:rPr>
        <w:t>Tribhuvan University Journal, 32</w:t>
      </w:r>
      <w:r w:rsidR="006545B5">
        <w:rPr>
          <w:sz w:val="23"/>
          <w:szCs w:val="23"/>
        </w:rPr>
        <w:t>(1), 205-214.</w:t>
      </w:r>
    </w:p>
    <w:p w14:paraId="518507C2" w14:textId="77777777" w:rsidR="00FB048E" w:rsidRDefault="00FB048E" w:rsidP="0003294E">
      <w:pPr>
        <w:autoSpaceDE w:val="0"/>
        <w:autoSpaceDN w:val="0"/>
        <w:adjustRightInd w:val="0"/>
        <w:ind w:left="720" w:hanging="720"/>
        <w:rPr>
          <w:sz w:val="23"/>
          <w:szCs w:val="23"/>
        </w:rPr>
      </w:pPr>
      <w:r>
        <w:rPr>
          <w:sz w:val="23"/>
          <w:szCs w:val="23"/>
        </w:rPr>
        <w:lastRenderedPageBreak/>
        <w:t xml:space="preserve">TU (n.d.). </w:t>
      </w:r>
      <w:r w:rsidRPr="006422F7">
        <w:rPr>
          <w:i/>
          <w:sz w:val="23"/>
          <w:szCs w:val="23"/>
        </w:rPr>
        <w:t>Regulation for Tribhuvan University Organiza</w:t>
      </w:r>
      <w:r w:rsidR="0048479D" w:rsidRPr="006422F7">
        <w:rPr>
          <w:i/>
          <w:sz w:val="23"/>
          <w:szCs w:val="23"/>
        </w:rPr>
        <w:t>tion and Administration – 1994 (with 2001 amendments)</w:t>
      </w:r>
      <w:r w:rsidR="0048479D" w:rsidRPr="006422F7">
        <w:rPr>
          <w:sz w:val="23"/>
          <w:szCs w:val="23"/>
        </w:rPr>
        <w:t>.</w:t>
      </w:r>
      <w:r w:rsidR="0048479D">
        <w:rPr>
          <w:sz w:val="23"/>
          <w:szCs w:val="23"/>
        </w:rPr>
        <w:t xml:space="preserve"> </w:t>
      </w:r>
      <w:r>
        <w:rPr>
          <w:sz w:val="23"/>
          <w:szCs w:val="23"/>
        </w:rPr>
        <w:t xml:space="preserve">Kathmandu: TU Printing Press. </w:t>
      </w:r>
    </w:p>
    <w:p w14:paraId="77877D4F" w14:textId="77777777" w:rsidR="00FB048E" w:rsidRDefault="00FB048E" w:rsidP="0003294E">
      <w:pPr>
        <w:autoSpaceDE w:val="0"/>
        <w:autoSpaceDN w:val="0"/>
        <w:adjustRightInd w:val="0"/>
        <w:ind w:left="720" w:hanging="720"/>
        <w:rPr>
          <w:sz w:val="23"/>
          <w:szCs w:val="23"/>
        </w:rPr>
      </w:pPr>
      <w:r>
        <w:rPr>
          <w:sz w:val="23"/>
          <w:szCs w:val="23"/>
        </w:rPr>
        <w:t xml:space="preserve">TU (2015). </w:t>
      </w:r>
      <w:r>
        <w:rPr>
          <w:i/>
          <w:iCs/>
          <w:sz w:val="23"/>
          <w:szCs w:val="23"/>
        </w:rPr>
        <w:t>Tribhuvan university examinations management and operation guidelines – 2015</w:t>
      </w:r>
      <w:r>
        <w:rPr>
          <w:sz w:val="23"/>
          <w:szCs w:val="23"/>
        </w:rPr>
        <w:t>. Unpublished Guidelines.</w:t>
      </w:r>
    </w:p>
    <w:p w14:paraId="23DF25C1" w14:textId="77777777" w:rsidR="0028781E" w:rsidRPr="0003294E" w:rsidRDefault="0028781E" w:rsidP="0003294E">
      <w:pPr>
        <w:autoSpaceDE w:val="0"/>
        <w:autoSpaceDN w:val="0"/>
        <w:adjustRightInd w:val="0"/>
        <w:ind w:left="720" w:hanging="720"/>
        <w:rPr>
          <w:bCs/>
          <w:iCs/>
        </w:rPr>
      </w:pPr>
      <w:r w:rsidRPr="0003294E">
        <w:t xml:space="preserve">Young, D. (2013). Perspectives on cheating at a Thai university. </w:t>
      </w:r>
      <w:r w:rsidRPr="0003294E">
        <w:rPr>
          <w:i/>
          <w:iCs/>
        </w:rPr>
        <w:t>Language Testing in Asia, 3</w:t>
      </w:r>
      <w:r w:rsidRPr="0003294E">
        <w:t>(6), 1-15. doi:10.1186/2229-0443-3-6</w:t>
      </w:r>
      <w:bookmarkStart w:id="0" w:name="_GoBack"/>
      <w:bookmarkEnd w:id="0"/>
    </w:p>
    <w:sectPr w:rsidR="0028781E" w:rsidRPr="0003294E" w:rsidSect="001F6F9E">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4C040" w14:textId="77777777" w:rsidR="00C547B4" w:rsidRDefault="00C547B4" w:rsidP="009453FF">
      <w:pPr>
        <w:spacing w:line="240" w:lineRule="auto"/>
      </w:pPr>
      <w:r>
        <w:separator/>
      </w:r>
    </w:p>
  </w:endnote>
  <w:endnote w:type="continuationSeparator" w:id="0">
    <w:p w14:paraId="694EA87E" w14:textId="77777777" w:rsidR="00C547B4" w:rsidRDefault="00C547B4" w:rsidP="00945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Kokila">
    <w:panose1 w:val="020B0604020202020204"/>
    <w:charset w:val="00"/>
    <w:family w:val="swiss"/>
    <w:pitch w:val="variable"/>
    <w:sig w:usb0="00008003" w:usb1="00000000" w:usb2="00000000" w:usb3="00000000" w:csb0="00000001" w:csb1="00000000"/>
  </w:font>
  <w:font w:name="ArialUnicodeM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7149F" w14:textId="77777777" w:rsidR="00C547B4" w:rsidRDefault="00C547B4" w:rsidP="009453FF">
      <w:pPr>
        <w:spacing w:line="240" w:lineRule="auto"/>
      </w:pPr>
      <w:r>
        <w:separator/>
      </w:r>
    </w:p>
  </w:footnote>
  <w:footnote w:type="continuationSeparator" w:id="0">
    <w:p w14:paraId="4E96F1FC" w14:textId="77777777" w:rsidR="00C547B4" w:rsidRDefault="00C547B4" w:rsidP="009453FF">
      <w:pPr>
        <w:spacing w:line="240" w:lineRule="auto"/>
      </w:pPr>
      <w:r>
        <w:continuationSeparator/>
      </w:r>
    </w:p>
  </w:footnote>
  <w:footnote w:id="1">
    <w:p w14:paraId="6849E752" w14:textId="77777777" w:rsidR="009453FF" w:rsidRPr="000770BE" w:rsidRDefault="009453FF">
      <w:pPr>
        <w:pStyle w:val="FootnoteText"/>
      </w:pPr>
      <w:r w:rsidRPr="000770BE">
        <w:rPr>
          <w:rStyle w:val="FootnoteReference"/>
        </w:rPr>
        <w:footnoteRef/>
      </w:r>
      <w:r w:rsidRPr="000770BE">
        <w:t xml:space="preserve"> Dr. Sharma, principal author, Lecturer (English Education) </w:t>
      </w:r>
    </w:p>
  </w:footnote>
  <w:footnote w:id="2">
    <w:p w14:paraId="763C23E8" w14:textId="77777777" w:rsidR="009453FF" w:rsidRDefault="009453FF">
      <w:pPr>
        <w:pStyle w:val="FootnoteText"/>
      </w:pPr>
      <w:r w:rsidRPr="000770BE">
        <w:rPr>
          <w:rStyle w:val="FootnoteReference"/>
        </w:rPr>
        <w:footnoteRef/>
      </w:r>
      <w:r w:rsidRPr="000770BE">
        <w:t xml:space="preserve"> Mr. Poudel, corresponding author, Associate Professor </w:t>
      </w:r>
      <w:r w:rsidR="000D7187" w:rsidRPr="000770BE">
        <w:t>(English Education)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C1EC7"/>
    <w:multiLevelType w:val="hybridMultilevel"/>
    <w:tmpl w:val="120A5A60"/>
    <w:lvl w:ilvl="0" w:tplc="9A5C5AA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0D"/>
    <w:rsid w:val="0000136D"/>
    <w:rsid w:val="000043DE"/>
    <w:rsid w:val="00005441"/>
    <w:rsid w:val="00012BDE"/>
    <w:rsid w:val="00020615"/>
    <w:rsid w:val="0003294E"/>
    <w:rsid w:val="0003613D"/>
    <w:rsid w:val="00054BEE"/>
    <w:rsid w:val="00063D97"/>
    <w:rsid w:val="000770BE"/>
    <w:rsid w:val="000835A5"/>
    <w:rsid w:val="000B700A"/>
    <w:rsid w:val="000C74BB"/>
    <w:rsid w:val="000D2E8C"/>
    <w:rsid w:val="000D7187"/>
    <w:rsid w:val="000E78CC"/>
    <w:rsid w:val="000F333D"/>
    <w:rsid w:val="000F5C0A"/>
    <w:rsid w:val="0010395B"/>
    <w:rsid w:val="0011119F"/>
    <w:rsid w:val="001322CB"/>
    <w:rsid w:val="00145562"/>
    <w:rsid w:val="00152FFB"/>
    <w:rsid w:val="0016453C"/>
    <w:rsid w:val="00187DA3"/>
    <w:rsid w:val="00190AEC"/>
    <w:rsid w:val="001A144A"/>
    <w:rsid w:val="001C47A7"/>
    <w:rsid w:val="001D26E2"/>
    <w:rsid w:val="001D7B1C"/>
    <w:rsid w:val="001F0D43"/>
    <w:rsid w:val="001F6B17"/>
    <w:rsid w:val="001F6F9E"/>
    <w:rsid w:val="00205022"/>
    <w:rsid w:val="0022243E"/>
    <w:rsid w:val="002256E8"/>
    <w:rsid w:val="0024521B"/>
    <w:rsid w:val="00253129"/>
    <w:rsid w:val="00285923"/>
    <w:rsid w:val="0028781E"/>
    <w:rsid w:val="002914F3"/>
    <w:rsid w:val="0029162B"/>
    <w:rsid w:val="002A3F28"/>
    <w:rsid w:val="002B3196"/>
    <w:rsid w:val="002F21F4"/>
    <w:rsid w:val="002F4910"/>
    <w:rsid w:val="002F70E6"/>
    <w:rsid w:val="00306716"/>
    <w:rsid w:val="003074ED"/>
    <w:rsid w:val="00313DBD"/>
    <w:rsid w:val="00324BCA"/>
    <w:rsid w:val="00326FBB"/>
    <w:rsid w:val="00336502"/>
    <w:rsid w:val="00343D1C"/>
    <w:rsid w:val="00354FDA"/>
    <w:rsid w:val="003764A4"/>
    <w:rsid w:val="00376C17"/>
    <w:rsid w:val="003774A0"/>
    <w:rsid w:val="00385655"/>
    <w:rsid w:val="00391C37"/>
    <w:rsid w:val="003969E5"/>
    <w:rsid w:val="0039715F"/>
    <w:rsid w:val="003A6C78"/>
    <w:rsid w:val="003C5909"/>
    <w:rsid w:val="003E1B94"/>
    <w:rsid w:val="003E4913"/>
    <w:rsid w:val="00421947"/>
    <w:rsid w:val="00424E7E"/>
    <w:rsid w:val="00452095"/>
    <w:rsid w:val="00456224"/>
    <w:rsid w:val="00461FD8"/>
    <w:rsid w:val="00475CAA"/>
    <w:rsid w:val="0048479D"/>
    <w:rsid w:val="00486E9D"/>
    <w:rsid w:val="0049605E"/>
    <w:rsid w:val="004A119C"/>
    <w:rsid w:val="004A594E"/>
    <w:rsid w:val="004C2F64"/>
    <w:rsid w:val="004C62DB"/>
    <w:rsid w:val="004D7469"/>
    <w:rsid w:val="004E7D80"/>
    <w:rsid w:val="00504F64"/>
    <w:rsid w:val="0050580D"/>
    <w:rsid w:val="0051180F"/>
    <w:rsid w:val="00520EDA"/>
    <w:rsid w:val="005234B5"/>
    <w:rsid w:val="0052414A"/>
    <w:rsid w:val="005410EB"/>
    <w:rsid w:val="00545FF2"/>
    <w:rsid w:val="00546E36"/>
    <w:rsid w:val="0054787E"/>
    <w:rsid w:val="005630E5"/>
    <w:rsid w:val="00583D85"/>
    <w:rsid w:val="00597746"/>
    <w:rsid w:val="005A01A4"/>
    <w:rsid w:val="005D4ADB"/>
    <w:rsid w:val="005D61C9"/>
    <w:rsid w:val="005E0DB5"/>
    <w:rsid w:val="00601086"/>
    <w:rsid w:val="00607673"/>
    <w:rsid w:val="00613F9D"/>
    <w:rsid w:val="00614481"/>
    <w:rsid w:val="0062757F"/>
    <w:rsid w:val="006422F7"/>
    <w:rsid w:val="00644E27"/>
    <w:rsid w:val="006545B5"/>
    <w:rsid w:val="006553FB"/>
    <w:rsid w:val="00662A25"/>
    <w:rsid w:val="00683F1E"/>
    <w:rsid w:val="00685893"/>
    <w:rsid w:val="006A2AFE"/>
    <w:rsid w:val="006A6AB1"/>
    <w:rsid w:val="006B6B0F"/>
    <w:rsid w:val="006D6C60"/>
    <w:rsid w:val="006D7EF5"/>
    <w:rsid w:val="006E1308"/>
    <w:rsid w:val="006E5B9A"/>
    <w:rsid w:val="00721C42"/>
    <w:rsid w:val="007234B6"/>
    <w:rsid w:val="007317F3"/>
    <w:rsid w:val="00741256"/>
    <w:rsid w:val="00746887"/>
    <w:rsid w:val="00747AC4"/>
    <w:rsid w:val="007850D6"/>
    <w:rsid w:val="007951DF"/>
    <w:rsid w:val="00796EDC"/>
    <w:rsid w:val="007A4E25"/>
    <w:rsid w:val="007A6649"/>
    <w:rsid w:val="007B61C3"/>
    <w:rsid w:val="007B76F6"/>
    <w:rsid w:val="007C5494"/>
    <w:rsid w:val="007E30AC"/>
    <w:rsid w:val="007E4A49"/>
    <w:rsid w:val="007F1AD7"/>
    <w:rsid w:val="007F212A"/>
    <w:rsid w:val="007F5A28"/>
    <w:rsid w:val="00807BB6"/>
    <w:rsid w:val="00817849"/>
    <w:rsid w:val="0086267A"/>
    <w:rsid w:val="008637A3"/>
    <w:rsid w:val="008764C6"/>
    <w:rsid w:val="0088022D"/>
    <w:rsid w:val="008A4406"/>
    <w:rsid w:val="008B2301"/>
    <w:rsid w:val="008B7691"/>
    <w:rsid w:val="008D0738"/>
    <w:rsid w:val="008D14BE"/>
    <w:rsid w:val="008D597D"/>
    <w:rsid w:val="008E4AB9"/>
    <w:rsid w:val="0090271A"/>
    <w:rsid w:val="00910DA1"/>
    <w:rsid w:val="0092232C"/>
    <w:rsid w:val="009234D8"/>
    <w:rsid w:val="00937CFD"/>
    <w:rsid w:val="009453FF"/>
    <w:rsid w:val="0094736F"/>
    <w:rsid w:val="009521B9"/>
    <w:rsid w:val="00960078"/>
    <w:rsid w:val="0096207F"/>
    <w:rsid w:val="009648B5"/>
    <w:rsid w:val="00965E7F"/>
    <w:rsid w:val="0096601C"/>
    <w:rsid w:val="0097359A"/>
    <w:rsid w:val="00977642"/>
    <w:rsid w:val="009804EC"/>
    <w:rsid w:val="00991223"/>
    <w:rsid w:val="009C4733"/>
    <w:rsid w:val="009D2DB0"/>
    <w:rsid w:val="009D3D56"/>
    <w:rsid w:val="009F1F66"/>
    <w:rsid w:val="00A02CD6"/>
    <w:rsid w:val="00A02D88"/>
    <w:rsid w:val="00A32460"/>
    <w:rsid w:val="00A73FBB"/>
    <w:rsid w:val="00AC24A6"/>
    <w:rsid w:val="00AC6302"/>
    <w:rsid w:val="00AD31C1"/>
    <w:rsid w:val="00AD3D39"/>
    <w:rsid w:val="00AF4038"/>
    <w:rsid w:val="00AF60FC"/>
    <w:rsid w:val="00B00D98"/>
    <w:rsid w:val="00B11203"/>
    <w:rsid w:val="00B1134B"/>
    <w:rsid w:val="00B174E8"/>
    <w:rsid w:val="00B24D45"/>
    <w:rsid w:val="00B418A9"/>
    <w:rsid w:val="00B45E3F"/>
    <w:rsid w:val="00B5296B"/>
    <w:rsid w:val="00B61FC7"/>
    <w:rsid w:val="00B62097"/>
    <w:rsid w:val="00B64349"/>
    <w:rsid w:val="00B75FED"/>
    <w:rsid w:val="00B81527"/>
    <w:rsid w:val="00B96B01"/>
    <w:rsid w:val="00BB032B"/>
    <w:rsid w:val="00BB3C93"/>
    <w:rsid w:val="00BB5532"/>
    <w:rsid w:val="00BE6CA0"/>
    <w:rsid w:val="00BF19F4"/>
    <w:rsid w:val="00C020D2"/>
    <w:rsid w:val="00C0799D"/>
    <w:rsid w:val="00C36D3D"/>
    <w:rsid w:val="00C4113A"/>
    <w:rsid w:val="00C4262E"/>
    <w:rsid w:val="00C438A7"/>
    <w:rsid w:val="00C547B4"/>
    <w:rsid w:val="00C86E6B"/>
    <w:rsid w:val="00CA59A5"/>
    <w:rsid w:val="00CB405B"/>
    <w:rsid w:val="00CC277F"/>
    <w:rsid w:val="00CC6BFE"/>
    <w:rsid w:val="00D037F6"/>
    <w:rsid w:val="00D13858"/>
    <w:rsid w:val="00D14A80"/>
    <w:rsid w:val="00D15597"/>
    <w:rsid w:val="00D164BC"/>
    <w:rsid w:val="00D25FAD"/>
    <w:rsid w:val="00D43593"/>
    <w:rsid w:val="00D9183E"/>
    <w:rsid w:val="00D97728"/>
    <w:rsid w:val="00DB7C3A"/>
    <w:rsid w:val="00DC4860"/>
    <w:rsid w:val="00DC7318"/>
    <w:rsid w:val="00DF5CFF"/>
    <w:rsid w:val="00E21489"/>
    <w:rsid w:val="00E331E1"/>
    <w:rsid w:val="00E37D0D"/>
    <w:rsid w:val="00E44033"/>
    <w:rsid w:val="00E46348"/>
    <w:rsid w:val="00E65173"/>
    <w:rsid w:val="00E76299"/>
    <w:rsid w:val="00E768A6"/>
    <w:rsid w:val="00E778E7"/>
    <w:rsid w:val="00E90335"/>
    <w:rsid w:val="00E90B0E"/>
    <w:rsid w:val="00EA322A"/>
    <w:rsid w:val="00EC40AA"/>
    <w:rsid w:val="00ED5B49"/>
    <w:rsid w:val="00EE7CE5"/>
    <w:rsid w:val="00F06C4E"/>
    <w:rsid w:val="00F14679"/>
    <w:rsid w:val="00F52268"/>
    <w:rsid w:val="00F75E58"/>
    <w:rsid w:val="00FA0B72"/>
    <w:rsid w:val="00FA0EA9"/>
    <w:rsid w:val="00FA766C"/>
    <w:rsid w:val="00FB048E"/>
    <w:rsid w:val="00FD1227"/>
    <w:rsid w:val="00FD7E4C"/>
    <w:rsid w:val="00FE3C2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B70A"/>
  <w15:chartTrackingRefBased/>
  <w15:docId w15:val="{138BA6A2-CC82-4C56-AA74-4EC9A7E2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firstLine="720"/>
    </w:pPr>
  </w:style>
  <w:style w:type="paragraph" w:styleId="Heading1">
    <w:name w:val="heading 1"/>
    <w:basedOn w:val="Normal"/>
    <w:next w:val="Normal"/>
    <w:link w:val="Heading1Char"/>
    <w:uiPriority w:val="9"/>
    <w:qFormat/>
    <w:rsid w:val="00B418A9"/>
    <w:pPr>
      <w:keepNext/>
      <w:keepLines/>
      <w:spacing w:line="240" w:lineRule="atLeast"/>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2232C"/>
    <w:pPr>
      <w:keepNext/>
      <w:keepLines/>
      <w:spacing w:before="40"/>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CAA"/>
    <w:rPr>
      <w:color w:val="0563C1" w:themeColor="hyperlink"/>
      <w:u w:val="single"/>
    </w:rPr>
  </w:style>
  <w:style w:type="character" w:customStyle="1" w:styleId="Heading1Char">
    <w:name w:val="Heading 1 Char"/>
    <w:basedOn w:val="DefaultParagraphFont"/>
    <w:link w:val="Heading1"/>
    <w:uiPriority w:val="9"/>
    <w:rsid w:val="00B418A9"/>
    <w:rPr>
      <w:rFonts w:eastAsiaTheme="majorEastAsia" w:cstheme="majorBidi"/>
      <w:b/>
      <w:szCs w:val="32"/>
    </w:rPr>
  </w:style>
  <w:style w:type="character" w:customStyle="1" w:styleId="Heading2Char">
    <w:name w:val="Heading 2 Char"/>
    <w:basedOn w:val="DefaultParagraphFont"/>
    <w:link w:val="Heading2"/>
    <w:uiPriority w:val="9"/>
    <w:rsid w:val="0092232C"/>
    <w:rPr>
      <w:rFonts w:eastAsiaTheme="majorEastAsia" w:cstheme="majorBidi"/>
      <w:b/>
      <w:szCs w:val="26"/>
    </w:rPr>
  </w:style>
  <w:style w:type="table" w:styleId="TableGrid">
    <w:name w:val="Table Grid"/>
    <w:basedOn w:val="TableNormal"/>
    <w:uiPriority w:val="39"/>
    <w:rsid w:val="002916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162B"/>
    <w:pPr>
      <w:ind w:left="720"/>
      <w:contextualSpacing/>
    </w:pPr>
  </w:style>
  <w:style w:type="paragraph" w:styleId="BodyText">
    <w:name w:val="Body Text"/>
    <w:basedOn w:val="Normal"/>
    <w:link w:val="BodyTextChar"/>
    <w:uiPriority w:val="99"/>
    <w:unhideWhenUsed/>
    <w:rsid w:val="00614481"/>
    <w:pPr>
      <w:ind w:firstLine="0"/>
    </w:pPr>
    <w:rPr>
      <w:i/>
    </w:rPr>
  </w:style>
  <w:style w:type="character" w:customStyle="1" w:styleId="BodyTextChar">
    <w:name w:val="Body Text Char"/>
    <w:basedOn w:val="DefaultParagraphFont"/>
    <w:link w:val="BodyText"/>
    <w:uiPriority w:val="99"/>
    <w:rsid w:val="00614481"/>
    <w:rPr>
      <w:i/>
    </w:rPr>
  </w:style>
  <w:style w:type="paragraph" w:styleId="BodyTextIndent">
    <w:name w:val="Body Text Indent"/>
    <w:basedOn w:val="Normal"/>
    <w:link w:val="BodyTextIndentChar"/>
    <w:uiPriority w:val="99"/>
    <w:unhideWhenUsed/>
    <w:rsid w:val="00020615"/>
    <w:pPr>
      <w:autoSpaceDE w:val="0"/>
      <w:autoSpaceDN w:val="0"/>
      <w:adjustRightInd w:val="0"/>
      <w:spacing w:line="360" w:lineRule="auto"/>
      <w:ind w:left="720" w:hanging="720"/>
    </w:pPr>
    <w:rPr>
      <w:bCs/>
    </w:rPr>
  </w:style>
  <w:style w:type="character" w:customStyle="1" w:styleId="BodyTextIndentChar">
    <w:name w:val="Body Text Indent Char"/>
    <w:basedOn w:val="DefaultParagraphFont"/>
    <w:link w:val="BodyTextIndent"/>
    <w:uiPriority w:val="99"/>
    <w:rsid w:val="00020615"/>
    <w:rPr>
      <w:bCs/>
    </w:rPr>
  </w:style>
  <w:style w:type="paragraph" w:customStyle="1" w:styleId="Default">
    <w:name w:val="Default"/>
    <w:rsid w:val="00FB048E"/>
    <w:pPr>
      <w:autoSpaceDE w:val="0"/>
      <w:autoSpaceDN w:val="0"/>
      <w:adjustRightInd w:val="0"/>
    </w:pPr>
    <w:rPr>
      <w:color w:val="000000"/>
    </w:rPr>
  </w:style>
  <w:style w:type="paragraph" w:styleId="Caption">
    <w:name w:val="caption"/>
    <w:basedOn w:val="Normal"/>
    <w:next w:val="Normal"/>
    <w:uiPriority w:val="35"/>
    <w:unhideWhenUsed/>
    <w:qFormat/>
    <w:rsid w:val="005D4ADB"/>
    <w:pPr>
      <w:spacing w:after="200" w:line="240" w:lineRule="auto"/>
    </w:pPr>
    <w:rPr>
      <w:i/>
      <w:iCs/>
      <w:color w:val="44546A" w:themeColor="text2"/>
      <w:sz w:val="18"/>
      <w:szCs w:val="18"/>
    </w:rPr>
  </w:style>
  <w:style w:type="paragraph" w:styleId="BodyTextIndent2">
    <w:name w:val="Body Text Indent 2"/>
    <w:basedOn w:val="Normal"/>
    <w:link w:val="BodyTextIndent2Char"/>
    <w:uiPriority w:val="99"/>
    <w:unhideWhenUsed/>
    <w:rsid w:val="0003294E"/>
    <w:pPr>
      <w:spacing w:line="360" w:lineRule="auto"/>
    </w:pPr>
  </w:style>
  <w:style w:type="character" w:customStyle="1" w:styleId="BodyTextIndent2Char">
    <w:name w:val="Body Text Indent 2 Char"/>
    <w:basedOn w:val="DefaultParagraphFont"/>
    <w:link w:val="BodyTextIndent2"/>
    <w:uiPriority w:val="99"/>
    <w:rsid w:val="0003294E"/>
  </w:style>
  <w:style w:type="paragraph" w:styleId="BodyText2">
    <w:name w:val="Body Text 2"/>
    <w:basedOn w:val="Normal"/>
    <w:link w:val="BodyText2Char"/>
    <w:uiPriority w:val="99"/>
    <w:unhideWhenUsed/>
    <w:rsid w:val="0003294E"/>
    <w:pPr>
      <w:ind w:firstLine="0"/>
    </w:pPr>
    <w:rPr>
      <w:iCs/>
    </w:rPr>
  </w:style>
  <w:style w:type="character" w:customStyle="1" w:styleId="BodyText2Char">
    <w:name w:val="Body Text 2 Char"/>
    <w:basedOn w:val="DefaultParagraphFont"/>
    <w:link w:val="BodyText2"/>
    <w:uiPriority w:val="99"/>
    <w:rsid w:val="0003294E"/>
    <w:rPr>
      <w:iCs/>
    </w:rPr>
  </w:style>
  <w:style w:type="paragraph" w:styleId="FootnoteText">
    <w:name w:val="footnote text"/>
    <w:basedOn w:val="Normal"/>
    <w:link w:val="FootnoteTextChar"/>
    <w:uiPriority w:val="99"/>
    <w:semiHidden/>
    <w:unhideWhenUsed/>
    <w:rsid w:val="009453FF"/>
    <w:pPr>
      <w:spacing w:line="240" w:lineRule="auto"/>
    </w:pPr>
    <w:rPr>
      <w:sz w:val="20"/>
      <w:szCs w:val="20"/>
    </w:rPr>
  </w:style>
  <w:style w:type="character" w:customStyle="1" w:styleId="FootnoteTextChar">
    <w:name w:val="Footnote Text Char"/>
    <w:basedOn w:val="DefaultParagraphFont"/>
    <w:link w:val="FootnoteText"/>
    <w:uiPriority w:val="99"/>
    <w:semiHidden/>
    <w:rsid w:val="009453FF"/>
    <w:rPr>
      <w:sz w:val="20"/>
      <w:szCs w:val="20"/>
    </w:rPr>
  </w:style>
  <w:style w:type="character" w:styleId="FootnoteReference">
    <w:name w:val="footnote reference"/>
    <w:basedOn w:val="DefaultParagraphFont"/>
    <w:uiPriority w:val="99"/>
    <w:semiHidden/>
    <w:unhideWhenUsed/>
    <w:rsid w:val="009453FF"/>
    <w:rPr>
      <w:vertAlign w:val="superscript"/>
    </w:rPr>
  </w:style>
  <w:style w:type="character" w:styleId="CommentReference">
    <w:name w:val="annotation reference"/>
    <w:basedOn w:val="DefaultParagraphFont"/>
    <w:uiPriority w:val="99"/>
    <w:semiHidden/>
    <w:unhideWhenUsed/>
    <w:rsid w:val="008764C6"/>
    <w:rPr>
      <w:sz w:val="16"/>
      <w:szCs w:val="16"/>
    </w:rPr>
  </w:style>
  <w:style w:type="paragraph" w:styleId="CommentText">
    <w:name w:val="annotation text"/>
    <w:basedOn w:val="Normal"/>
    <w:link w:val="CommentTextChar"/>
    <w:uiPriority w:val="99"/>
    <w:semiHidden/>
    <w:unhideWhenUsed/>
    <w:rsid w:val="008764C6"/>
    <w:pPr>
      <w:spacing w:line="240" w:lineRule="auto"/>
    </w:pPr>
    <w:rPr>
      <w:sz w:val="20"/>
      <w:szCs w:val="20"/>
    </w:rPr>
  </w:style>
  <w:style w:type="character" w:customStyle="1" w:styleId="CommentTextChar">
    <w:name w:val="Comment Text Char"/>
    <w:basedOn w:val="DefaultParagraphFont"/>
    <w:link w:val="CommentText"/>
    <w:uiPriority w:val="99"/>
    <w:semiHidden/>
    <w:rsid w:val="008764C6"/>
    <w:rPr>
      <w:sz w:val="20"/>
      <w:szCs w:val="20"/>
    </w:rPr>
  </w:style>
  <w:style w:type="paragraph" w:styleId="CommentSubject">
    <w:name w:val="annotation subject"/>
    <w:basedOn w:val="CommentText"/>
    <w:next w:val="CommentText"/>
    <w:link w:val="CommentSubjectChar"/>
    <w:uiPriority w:val="99"/>
    <w:semiHidden/>
    <w:unhideWhenUsed/>
    <w:rsid w:val="008764C6"/>
    <w:rPr>
      <w:b/>
      <w:bCs/>
    </w:rPr>
  </w:style>
  <w:style w:type="character" w:customStyle="1" w:styleId="CommentSubjectChar">
    <w:name w:val="Comment Subject Char"/>
    <w:basedOn w:val="CommentTextChar"/>
    <w:link w:val="CommentSubject"/>
    <w:uiPriority w:val="99"/>
    <w:semiHidden/>
    <w:rsid w:val="008764C6"/>
    <w:rPr>
      <w:b/>
      <w:bCs/>
      <w:sz w:val="20"/>
      <w:szCs w:val="20"/>
    </w:rPr>
  </w:style>
  <w:style w:type="paragraph" w:styleId="BalloonText">
    <w:name w:val="Balloon Text"/>
    <w:basedOn w:val="Normal"/>
    <w:link w:val="BalloonTextChar"/>
    <w:uiPriority w:val="99"/>
    <w:semiHidden/>
    <w:unhideWhenUsed/>
    <w:rsid w:val="008764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4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1329/9e029a7b2abdd561f9b0d112ffba05a76bdd.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259B0-825B-4E67-8862-F0E28520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3110</Words>
  <Characters>17728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nstu</dc:creator>
  <cp:keywords/>
  <dc:description/>
  <cp:lastModifiedBy>nstu</cp:lastModifiedBy>
  <cp:revision>3</cp:revision>
  <dcterms:created xsi:type="dcterms:W3CDTF">2021-01-12T16:04:00Z</dcterms:created>
  <dcterms:modified xsi:type="dcterms:W3CDTF">2021-01-13T03:17:00Z</dcterms:modified>
</cp:coreProperties>
</file>