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9.0 -->
  <w:body>
    <w:tbl>
      <w:tblPr>
        <w:tblStyle w:val="tablecrossword"/>
        <w:jc w:val="center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</w:tblGrid>
      <w:tr>
        <w:tblPrEx>
          <w:jc w:val="center"/>
          <w:tblLook w:val="05E0"/>
        </w:tblPrEx>
        <w:trPr>
          <w:trHeight w:val="400"/>
          <w:jc w:val="center"/>
        </w:trPr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</w:rPr>
              <w:drawing>
                <wp:anchor simplePos="0" relativeHeight="251658240" behindDoc="0" locked="0" layoutInCell="1" allowOverlap="1">
                  <wp:simplePos x="0" y="0"/>
                  <wp:positionH relativeFrom="column">
                    <wp:posOffset>12700</wp:posOffset>
                  </wp:positionH>
                  <wp:positionV relativeFrom="paragraph">
                    <wp:posOffset>-31750</wp:posOffset>
                  </wp:positionV>
                  <wp:extent cx="114300" cy="114300"/>
                  <wp:wrapNone/>
                  <wp:docPr id="10000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C</w:t>
            </w: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>
        <w:tblPrEx>
          <w:jc w:val="center"/>
          <w:tblLook w:val="05E0"/>
        </w:tblPrEx>
        <w:trPr>
          <w:trHeight w:val="400"/>
          <w:jc w:val="center"/>
        </w:trPr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ô</w:t>
            </w: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</w:rPr>
              <w:drawing>
                <wp:anchor simplePos="0" relativeHeight="251659264" behindDoc="0" locked="0" layoutInCell="1" allowOverlap="1">
                  <wp:simplePos x="0" y="0"/>
                  <wp:positionH relativeFrom="column">
                    <wp:posOffset>12700</wp:posOffset>
                  </wp:positionH>
                  <wp:positionV relativeFrom="paragraph">
                    <wp:posOffset>-31750</wp:posOffset>
                  </wp:positionV>
                  <wp:extent cx="114300" cy="114300"/>
                  <wp:wrapNone/>
                  <wp:docPr id="10000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T</w:t>
            </w:r>
          </w:p>
        </w:tc>
      </w:tr>
      <w:tr>
        <w:tblPrEx>
          <w:jc w:val="center"/>
          <w:tblLook w:val="05E0"/>
        </w:tblPrEx>
        <w:trPr>
          <w:trHeight w:val="400"/>
          <w:jc w:val="center"/>
        </w:trPr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n</w:t>
            </w: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á</w:t>
            </w:r>
          </w:p>
        </w:tc>
      </w:tr>
      <w:tr>
        <w:tblPrEx>
          <w:jc w:val="center"/>
          <w:tblLook w:val="05E0"/>
        </w:tblPrEx>
        <w:trPr>
          <w:trHeight w:val="400"/>
          <w:jc w:val="center"/>
        </w:trPr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</w:rPr>
              <w:drawing>
                <wp:anchor simplePos="0" relativeHeight="251660288" behindDoc="0" locked="0" layoutInCell="1" allowOverlap="1">
                  <wp:simplePos x="0" y="0"/>
                  <wp:positionH relativeFrom="column">
                    <wp:posOffset>12700</wp:posOffset>
                  </wp:positionH>
                  <wp:positionV relativeFrom="paragraph">
                    <wp:posOffset>-31750</wp:posOffset>
                  </wp:positionV>
                  <wp:extent cx="114300" cy="114300"/>
                  <wp:wrapNone/>
                  <wp:docPr id="10000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L</w:t>
            </w: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a</w:t>
            </w: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o</w:t>
            </w: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đ</w:t>
            </w: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ộ</w:t>
            </w: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n</w:t>
            </w: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g</w:t>
            </w: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i</w:t>
            </w:r>
          </w:p>
        </w:tc>
      </w:tr>
      <w:tr>
        <w:tblPrEx>
          <w:jc w:val="center"/>
          <w:tblLook w:val="05E0"/>
        </w:tblPrEx>
        <w:trPr>
          <w:trHeight w:val="400"/>
          <w:jc w:val="center"/>
        </w:trPr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ợ</w:t>
            </w: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n</w:t>
            </w: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s</w:t>
            </w:r>
          </w:p>
        </w:tc>
      </w:tr>
      <w:tr>
        <w:tblPrEx>
          <w:jc w:val="center"/>
          <w:tblLook w:val="05E0"/>
        </w:tblPrEx>
        <w:trPr>
          <w:trHeight w:val="400"/>
          <w:jc w:val="center"/>
        </w:trPr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i</w:t>
            </w: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h</w:t>
            </w: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</w:rPr>
              <w:drawing>
                <wp:anchor simplePos="0" relativeHeight="251661312" behindDoc="0" locked="0" layoutInCell="1" allowOverlap="1">
                  <wp:simplePos x="0" y="0"/>
                  <wp:positionH relativeFrom="column">
                    <wp:posOffset>12700</wp:posOffset>
                  </wp:positionH>
                  <wp:positionV relativeFrom="paragraph">
                    <wp:posOffset>-31750</wp:posOffset>
                  </wp:positionV>
                  <wp:extent cx="114300" cy="114300"/>
                  <wp:wrapNone/>
                  <wp:docPr id="10000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T</w:t>
            </w: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ả</w:t>
            </w:r>
          </w:p>
        </w:tc>
      </w:tr>
      <w:tr>
        <w:tblPrEx>
          <w:jc w:val="center"/>
          <w:tblLook w:val="05E0"/>
        </w:tblPrEx>
        <w:trPr>
          <w:trHeight w:val="400"/>
          <w:jc w:val="center"/>
        </w:trPr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n</w:t>
            </w: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</w:rPr>
              <w:drawing>
                <wp:anchor simplePos="0" relativeHeight="251662336" behindDoc="0" locked="0" layoutInCell="1" allowOverlap="1">
                  <wp:simplePos x="0" y="0"/>
                  <wp:positionH relativeFrom="column">
                    <wp:posOffset>12700</wp:posOffset>
                  </wp:positionH>
                  <wp:positionV relativeFrom="paragraph">
                    <wp:posOffset>-31750</wp:posOffset>
                  </wp:positionV>
                  <wp:extent cx="114300" cy="114300"/>
                  <wp:wrapNone/>
                  <wp:docPr id="10000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M</w:t>
            </w: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â</w:t>
            </w: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u</w:t>
            </w: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t</w:t>
            </w: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h</w:t>
            </w: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u</w:t>
            </w: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ẫ</w:t>
            </w: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n</w:t>
            </w:r>
          </w:p>
        </w:tc>
      </w:tr>
      <w:tr>
        <w:tblPrEx>
          <w:jc w:val="center"/>
          <w:tblLook w:val="05E0"/>
        </w:tblPrEx>
        <w:trPr>
          <w:trHeight w:val="400"/>
          <w:jc w:val="center"/>
        </w:trPr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</w:rPr>
              <w:drawing>
                <wp:anchor simplePos="0" relativeHeight="251663360" behindDoc="0" locked="0" layoutInCell="1" allowOverlap="1">
                  <wp:simplePos x="0" y="0"/>
                  <wp:positionH relativeFrom="column">
                    <wp:posOffset>12700</wp:posOffset>
                  </wp:positionH>
                  <wp:positionV relativeFrom="paragraph">
                    <wp:posOffset>-31750</wp:posOffset>
                  </wp:positionV>
                  <wp:extent cx="114300" cy="114300"/>
                  <wp:wrapNone/>
                  <wp:docPr id="10001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T</w:t>
            </w: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í</w:t>
            </w: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c</w:t>
            </w: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h</w:t>
            </w: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l</w:t>
            </w: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ũ</w:t>
            </w: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y</w:t>
            </w: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n</w:t>
            </w: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ặ</w:t>
            </w: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x</w:t>
            </w:r>
          </w:p>
        </w:tc>
      </w:tr>
      <w:tr>
        <w:tblPrEx>
          <w:jc w:val="center"/>
          <w:tblLook w:val="05E0"/>
        </w:tblPrEx>
        <w:trPr>
          <w:trHeight w:val="400"/>
          <w:jc w:val="center"/>
        </w:trPr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u</w:t>
            </w: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n</w:t>
            </w: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u</w:t>
            </w:r>
          </w:p>
        </w:tc>
      </w:tr>
      <w:tr>
        <w:tblPrEx>
          <w:jc w:val="center"/>
          <w:tblLook w:val="05E0"/>
        </w:tblPrEx>
        <w:trPr>
          <w:trHeight w:val="400"/>
          <w:jc w:val="center"/>
        </w:trPr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ậ</w:t>
            </w: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g</w:t>
            </w: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ấ</w:t>
            </w:r>
          </w:p>
        </w:tc>
      </w:tr>
      <w:tr>
        <w:tblPrEx>
          <w:jc w:val="center"/>
          <w:tblLook w:val="05E0"/>
        </w:tblPrEx>
        <w:trPr>
          <w:trHeight w:val="400"/>
          <w:jc w:val="center"/>
        </w:trPr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n</w:t>
            </w: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d</w:t>
            </w: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t</w:t>
            </w:r>
          </w:p>
        </w:tc>
      </w:tr>
      <w:tr>
        <w:tblPrEx>
          <w:jc w:val="center"/>
          <w:tblLook w:val="05E0"/>
        </w:tblPrEx>
        <w:trPr>
          <w:trHeight w:val="400"/>
          <w:jc w:val="center"/>
        </w:trPr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ư</w:t>
            </w: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</w:tbl>
    <w:p>
      <w:pPr>
        <w:spacing w:before="240" w:after="0"/>
        <w:rPr>
          <w:rFonts w:ascii="Calibri" w:eastAsia="Calibri" w:hAnsi="Calibri" w:cs="Calibri"/>
          <w:sz w:val="24"/>
          <w:szCs w:val="24"/>
        </w:rPr>
      </w:pPr>
    </w:p>
    <w:tbl>
      <w:tblPr>
        <w:tblW w:w="5000" w:type="pct"/>
        <w:jc w:val="center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844"/>
        <w:gridCol w:w="4844"/>
      </w:tblGrid>
      <w:tr>
        <w:tblPrEx>
          <w:tblW w:w="5000" w:type="pct"/>
          <w:jc w:val="center"/>
        </w:tblPrEx>
        <w:trPr>
          <w:cantSplit/>
          <w:tblHeader/>
          <w:jc w:val="center"/>
        </w:trPr>
        <w:tc>
          <w:tcPr>
            <w:tcW w:w="2500" w:type="pct"/>
            <w:noWrap w:val="0"/>
            <w:tcMar>
              <w:top w:w="15" w:type="dxa"/>
              <w:left w:w="25" w:type="dxa"/>
              <w:bottom w:w="15" w:type="dxa"/>
              <w:right w:w="25" w:type="dxa"/>
            </w:tcMar>
            <w:vAlign w:val="top"/>
            <w:hideMark/>
          </w:tcPr>
          <w:p>
            <w:pPr>
              <w:spacing w:before="0" w:after="0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  <w:u w:val="single" w:color="000000"/>
              </w:rPr>
              <w:t>Theo chiều ngang</w:t>
            </w:r>
          </w:p>
        </w:tc>
        <w:tc>
          <w:tcPr>
            <w:noWrap w:val="0"/>
            <w:tcMar>
              <w:top w:w="15" w:type="dxa"/>
              <w:left w:w="25" w:type="dxa"/>
              <w:bottom w:w="15" w:type="dxa"/>
              <w:right w:w="25" w:type="dxa"/>
            </w:tcMar>
            <w:vAlign w:val="top"/>
            <w:hideMark/>
          </w:tcPr>
          <w:p>
            <w:pPr>
              <w:spacing w:before="0" w:after="0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  <w:u w:val="single" w:color="000000"/>
              </w:rPr>
              <w:t>Theo chiều dọc</w:t>
            </w:r>
          </w:p>
        </w:tc>
      </w:tr>
      <w:tr>
        <w:tblPrEx>
          <w:tblW w:w="5000" w:type="pct"/>
          <w:jc w:val="center"/>
        </w:tblPrEx>
        <w:trPr>
          <w:jc w:val="center"/>
        </w:trPr>
        <w:tc>
          <w:tcPr>
            <w:tcW w:w="2500" w:type="pct"/>
            <w:noWrap w:val="0"/>
            <w:tcMar>
              <w:top w:w="15" w:type="dxa"/>
              <w:left w:w="20" w:type="dxa"/>
              <w:bottom w:w="15" w:type="dxa"/>
              <w:right w:w="20" w:type="dxa"/>
            </w:tcMar>
            <w:vAlign w:val="top"/>
            <w:hideMark/>
          </w:tcPr>
          <w:p>
            <w:pPr>
              <w:spacing w:before="0" w:after="0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3.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Người làm việc trong nhà máy hoặc văn phòng để kiếm tiền được gọi là gì?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(Laođộng)</w:t>
            </w:r>
          </w:p>
          <w:p>
            <w:pPr>
              <w:spacing w:before="0" w:after="0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5.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Khi có sự bất đồng hoặc không đồng ý giữa các nhóm người hoặc giai cấp trong xã hội, đó là gì?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(Mâuthuẫn)</w:t>
            </w:r>
          </w:p>
          <w:p>
            <w:pPr>
              <w:spacing w:before="0" w:after="0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6.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Khi một doanh nghiệp liên tục đầu tư và gia tăng tài sản của mình, quá trình đó được gọi là gì?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(Tíchlũy)</w:t>
            </w:r>
          </w:p>
        </w:tc>
        <w:tc>
          <w:tcPr>
            <w:noWrap w:val="0"/>
            <w:tcMar>
              <w:top w:w="15" w:type="dxa"/>
              <w:left w:w="20" w:type="dxa"/>
              <w:bottom w:w="15" w:type="dxa"/>
              <w:right w:w="20" w:type="dxa"/>
            </w:tcMar>
            <w:vAlign w:val="top"/>
            <w:hideMark/>
          </w:tcPr>
          <w:p>
            <w:pPr>
              <w:spacing w:before="0" w:after="0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1.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Những người làm việc trong các nhà máy hoặc công trường để sản xuất ra hàng hóa gọi là gì?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(Côngnhân)</w:t>
            </w:r>
          </w:p>
          <w:p>
            <w:pPr>
              <w:spacing w:before="0" w:after="0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2.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Khi một công ty sản xuất lại một sản phẩm hoặc bắt đầu một chu kỳ sản xuất mới, đó là gì?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(Táisảnxuất)</w:t>
            </w:r>
          </w:p>
          <w:p>
            <w:pPr>
              <w:spacing w:before="0" w:after="0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3.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Khi một công ty bán sản phẩm với giá cao hơn chi phí sản xuất, họ thu được gì?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(Lợinhuận)</w:t>
            </w:r>
          </w:p>
          <w:p>
            <w:pPr>
              <w:spacing w:before="0" w:after="0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4.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Khi sản xuất nhiều hơn mức cần thiết hoặc chi phí sản xuất thấp hơn giá bán, phần dư thừa đó được gọi là gì?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(Thặngdư)</w:t>
            </w:r>
          </w:p>
        </w:tc>
      </w:tr>
    </w:tbl>
    <w:p>
      <w:pPr>
        <w:spacing w:before="0" w:after="0"/>
        <w:rPr>
          <w:rFonts w:ascii="Calibri" w:eastAsia="Calibri" w:hAnsi="Calibri" w:cs="Calibri"/>
          <w:sz w:val="24"/>
          <w:szCs w:val="24"/>
        </w:rPr>
      </w:pPr>
    </w:p>
    <w:sectPr>
      <w:pgSz w:w="12240" w:h="15840"/>
      <w:pgMar w:top="1134" w:right="850" w:bottom="1134" w:left="1701" w:header="480" w:footer="720"/>
      <w:pgNumType w:fmt="decimal" w:chapStyle="0" w:chapSep="hyphen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Calibri" w:eastAsia="Calibri" w:hAnsi="Calibri" w:cs="Calibri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 w:after="0"/>
      <w:outlineLvl w:val="0"/>
    </w:pPr>
    <w:rPr>
      <w:rFonts w:ascii="Calibri" w:eastAsia="Calibri" w:hAnsi="Calibri" w:cs="Calibri"/>
      <w:b/>
      <w:bCs/>
      <w:i w:val="0"/>
      <w:color w:val="2F5496" w:themeShade="BF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 w:after="0"/>
      <w:outlineLvl w:val="1"/>
    </w:pPr>
    <w:rPr>
      <w:rFonts w:ascii="Calibri" w:eastAsia="Calibri" w:hAnsi="Calibri" w:cs="Calibri"/>
      <w:b/>
      <w:bCs/>
      <w:i w:val="0"/>
      <w:color w:val="2F5496" w:themeShade="BF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 w:after="0"/>
      <w:outlineLvl w:val="2"/>
    </w:pPr>
    <w:rPr>
      <w:rFonts w:ascii="Calibri" w:eastAsia="Calibri" w:hAnsi="Calibri" w:cs="Calibri"/>
      <w:b/>
      <w:bCs/>
      <w:i w:val="0"/>
      <w:color w:val="1F3763" w:themeShade="7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 w:after="0"/>
      <w:outlineLvl w:val="3"/>
    </w:pPr>
    <w:rPr>
      <w:rFonts w:ascii="Calibri" w:eastAsia="Calibri" w:hAnsi="Calibri" w:cs="Calibri"/>
      <w:b/>
      <w:bCs/>
      <w:i w:val="0"/>
      <w:iCs/>
      <w:color w:val="2F5496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 w:after="0"/>
      <w:outlineLvl w:val="4"/>
    </w:pPr>
    <w:rPr>
      <w:rFonts w:ascii="Calibri" w:eastAsia="Calibri" w:hAnsi="Calibri" w:cs="Calibri"/>
      <w:b/>
      <w:bCs/>
      <w:i w:val="0"/>
      <w:color w:val="2F5496" w:themeShade="BF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 w:after="0"/>
      <w:outlineLvl w:val="5"/>
    </w:pPr>
    <w:rPr>
      <w:rFonts w:ascii="Calibri" w:eastAsia="Calibri" w:hAnsi="Calibri" w:cs="Calibri"/>
      <w:b/>
      <w:bCs/>
      <w:i w:val="0"/>
      <w:color w:val="1F3763" w:themeShade="7F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 w:themeShade="7F"/>
    </w:rPr>
  </w:style>
  <w:style w:type="paragraph" w:customStyle="1" w:styleId="divSection1">
    <w:name w:val="div_Section_1"/>
    <w:basedOn w:val="Normal"/>
  </w:style>
  <w:style w:type="paragraph" w:customStyle="1" w:styleId="cell-char">
    <w:name w:val="cell-char"/>
    <w:basedOn w:val="Normal"/>
    <w:pPr>
      <w:jc w:val="center"/>
    </w:pPr>
    <w:rPr>
      <w:caps/>
      <w:sz w:val="24"/>
      <w:szCs w:val="24"/>
    </w:rPr>
  </w:style>
  <w:style w:type="table" w:customStyle="1" w:styleId="tablecrossword">
    <w:name w:val="table_crossword"/>
    <w:basedOn w:val="Table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