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w="http://schemas.openxmlformats.org/wordprocessingml/2006/main" ns1:Ignorable="w14 wp14 w15">
  <w:body>
    <w:p>
      <w:pPr>
        <w:pStyle w:val="Heading1"/>
        <w:bidi w:val="0"/>
        <w:spacing w:before="240" w:after="60"/>
        <w:jc w:val="start"/>
        <w:rPr/>
      </w:pPr>
      <w:r>
        <w:rPr/>
        <w:t>MUSIC CITY</w:t>
      </w:r>
    </w:p>
    <w:p>
      <w:pPr>
        <w:pStyle w:val="BodyTextsubtitle"/>
        <w:bidi w:val="0"/>
        <w:jc w:val="start"/>
        <w:rPr/>
      </w:pPr>
      <w:r>
        <w:rPr>
          <w:rStyle w:val="Strong"/>
        </w:rPr>
        <w:t>Customer Development Plan</w:t>
      </w:r>
      <w:r>
        <w:rPr/>
        <w:br/>
        <w:t>Follow-On Application | 2026–2027</w:t>
      </w:r>
    </w:p>
    <w:p>
      <w:pPr>
        <w:pStyle w:val="Heading2"/>
        <w:bidi w:val="0"/>
        <w:jc w:val="start"/>
        <w:rPr/>
      </w:pPr>
      <w:r>
        <w:rPr/>
        <w:t>1. Customer and Market</w:t>
      </w:r>
    </w:p>
    <w:p>
      <w:pPr>
        <w:pStyle w:val="BodyText"/>
        <w:bidi w:val="0"/>
        <w:jc w:val="start"/>
        <w:rPr/>
      </w:pPr>
      <w:r>
        <w:rPr/>
        <w:t>Music City is building a digital music platform for independent artists, emerging record labels, artist managers, producers, DJs, music institutions and listeners.</w:t>
      </w:r>
    </w:p>
    <w:p>
      <w:pPr>
        <w:pStyle w:val="BodyText"/>
        <w:bidi w:val="0"/>
        <w:jc w:val="start"/>
        <w:rPr/>
      </w:pPr>
      <w:r>
        <w:rPr/>
        <w:t>Our initial focus is Africa, supported by expansion into North America, Europe, Asia and other international markets. We address common challenges faced by independent creators: limited global reach, complex onboarding, weak access to data, fragmented promotional support and limited opportunities to build sustainable income.</w:t>
      </w:r>
    </w:p>
    <w:p>
      <w:pPr>
        <w:pStyle w:val="Heading2"/>
        <w:bidi w:val="0"/>
        <w:jc w:val="start"/>
        <w:rPr/>
      </w:pPr>
      <w:r>
        <w:rPr/>
        <w:t>2. Named Ambassador and Validation Network</w:t>
      </w:r>
    </w:p>
    <w:p>
      <w:pPr>
        <w:pStyle w:val="BodyText"/>
        <w:bidi w:val="0"/>
        <w:jc w:val="start"/>
        <w:rPr/>
      </w:pPr>
      <w:r>
        <w:rPr/>
        <w:t>Music City has established relationships with ambassadors, artists and music professionals across multiple markets. This network provides direct access to potential customers, local industry feedback and regional market knowledge.</w:t>
      </w:r>
    </w:p>
    <w:tbl>
      <w:tblPr>
        <w:tblW w:w="11162" w:type="dxa"/>
        <w:jc w:val="start"/>
        <w:tblInd w:w="0" w:type="dxa"/>
        <w:tblLayout w:type="fixed"/>
        <w:tblCellMar>
          <w:top w:w="28" w:type="dxa"/>
          <w:start w:w="28" w:type="dxa"/>
          <w:bottom w:w="28" w:type="dxa"/>
          <w:end w:w="28" w:type="dxa"/>
        </w:tblCellMar>
      </w:tblPr>
      <w:tblGrid>
        <w:gridCol w:w="2700"/>
        <w:gridCol w:w="5200"/>
        <w:gridCol w:w="3262"/>
      </w:tblGrid>
      <w:tr>
        <w:trPr/>
        <w:tc>
          <w:tcPr>
            <w:tcW w:w="2700" w:type="dxa"/>
            <w:tcBorders/>
            <w:vAlign w:val="center"/>
          </w:tcPr>
          <w:p>
            <w:pPr>
              <w:pStyle w:val="TableHeading"/>
              <w:suppressLineNumbers/>
              <w:shd w:fill="0B7285" w:val="clear"/>
              <w:bidi w:val="0"/>
              <w:spacing w:before="0" w:after="283"/>
              <w:jc w:val="start"/>
              <w:rPr/>
            </w:pPr>
            <w:r>
              <w:rPr/>
              <w:t>Country / Market</w:t>
            </w:r>
          </w:p>
        </w:tc>
        <w:tc>
          <w:tcPr>
            <w:tcW w:w="5200" w:type="dxa"/>
            <w:tcBorders/>
            <w:vAlign w:val="center"/>
          </w:tcPr>
          <w:p>
            <w:pPr>
              <w:pStyle w:val="TableHeading"/>
              <w:suppressLineNumbers/>
              <w:shd w:fill="0B7285" w:val="clear"/>
              <w:bidi w:val="0"/>
              <w:spacing w:before="0" w:after="283"/>
              <w:jc w:val="start"/>
              <w:rPr/>
            </w:pPr>
            <w:r>
              <w:rPr/>
              <w:t>Ambassador</w:t>
            </w:r>
          </w:p>
        </w:tc>
        <w:tc>
          <w:tcPr>
            <w:tcW w:w="3262" w:type="dxa"/>
            <w:tcBorders/>
            <w:vAlign w:val="center"/>
          </w:tcPr>
          <w:p>
            <w:pPr>
              <w:pStyle w:val="BodyText"/>
            </w:pPr>
            <w:r>
              <w:rPr/>
              <w:t>Artists</w:t>
            </w:r>
          </w:p>
        </w:tc>
      </w:tr>
      <w:tr>
        <w:trPr/>
        <w:tc>
          <w:tcPr>
            <w:tcW w:w="2700" w:type="dxa"/>
            <w:tcBorders/>
            <w:vAlign w:val="center"/>
          </w:tcPr>
          <w:p>
            <w:pPr>
              <w:pStyle w:val="BodyText"/>
            </w:pPr>
            <w:r>
              <w:rPr/>
              <w:t>South Africa</w:t>
            </w:r>
          </w:p>
        </w:tc>
        <w:tc>
          <w:tcPr>
            <w:tcW w:w="5200" w:type="dxa"/>
            <w:tcBorders/>
            <w:vAlign w:val="center"/>
          </w:tcPr>
          <w:p>
            <w:pPr>
              <w:pStyle w:val="BodyText"/>
            </w:pPr>
            <w:r>
              <w:rPr/>
              <w:t>Taffy Da Don</w:t>
            </w:r>
          </w:p>
        </w:tc>
        <w:tc>
          <w:tcPr>
            <w:tcW w:w="3262" w:type="dxa"/>
            <w:tcBorders/>
            <w:vAlign w:val="center"/>
          </w:tcPr>
          <w:p>
            <w:pPr>
              <w:pStyle w:val="BodyText"/>
            </w:pPr>
            <w:r>
              <w:rPr/>
              <w:t>4</w:t>
            </w:r>
          </w:p>
        </w:tc>
      </w:tr>
      <w:tr>
        <w:trPr/>
        <w:tc>
          <w:tcPr>
            <w:tcW w:w="2700" w:type="dxa"/>
            <w:tcBorders/>
            <w:vAlign w:val="center"/>
          </w:tcPr>
          <w:p>
            <w:pPr>
              <w:pStyle w:val="BodyText"/>
            </w:pPr>
            <w:r>
              <w:rPr/>
              <w:t/>
            </w:r>
          </w:p>
        </w:tc>
        <w:tc>
          <w:tcPr>
            <w:tcW w:w="5200" w:type="dxa"/>
            <w:tcBorders/>
            <w:vAlign w:val="center"/>
          </w:tcPr>
          <w:p>
            <w:pPr>
              <w:pStyle w:val="BodyText"/>
            </w:pPr>
            <w:r>
              <w:rPr/>
              <w:t>Aubs</w:t>
            </w:r>
          </w:p>
        </w:tc>
        <w:tc>
          <w:tcPr>
            <w:tcW w:w="3262" w:type="dxa"/>
            <w:tcBorders/>
            <w:vAlign w:val="center"/>
          </w:tcPr>
          <w:p>
            <w:pPr>
              <w:pStyle w:val="BodyText"/>
            </w:pPr>
            <w:r>
              <w:rPr/>
              <w:t>3</w:t>
            </w:r>
          </w:p>
        </w:tc>
      </w:tr>
      <w:tr>
        <w:trPr/>
        <w:tc>
          <w:tcPr>
            <w:tcW w:w="2700" w:type="dxa"/>
            <w:tcBorders/>
            <w:vAlign w:val="center"/>
          </w:tcPr>
          <w:p>
            <w:pPr>
              <w:pStyle w:val="BodyText"/>
            </w:pPr>
            <w:r>
              <w:rPr/>
              <w:t/>
            </w:r>
          </w:p>
        </w:tc>
        <w:tc>
          <w:tcPr>
            <w:tcW w:w="5200" w:type="dxa"/>
            <w:tcBorders/>
            <w:vAlign w:val="center"/>
          </w:tcPr>
          <w:p>
            <w:pPr>
              <w:pStyle w:val="BodyText"/>
            </w:pPr>
            <w:r>
              <w:rPr/>
              <w:t>Vincent Bolo House Music</w:t>
            </w:r>
          </w:p>
        </w:tc>
        <w:tc>
          <w:tcPr>
            <w:tcW w:w="3262" w:type="dxa"/>
            <w:tcBorders/>
            <w:vAlign w:val="center"/>
          </w:tcPr>
          <w:p>
            <w:pPr>
              <w:pStyle w:val="BodyText"/>
            </w:pPr>
            <w:r>
              <w:rPr/>
              <w:t>5</w:t>
            </w:r>
          </w:p>
        </w:tc>
      </w:tr>
      <w:tr>
        <w:trPr/>
        <w:tc>
          <w:tcPr>
            <w:tcW w:w="2700" w:type="dxa"/>
            <w:tcBorders/>
            <w:vAlign w:val="center"/>
          </w:tcPr>
          <w:p>
            <w:pPr>
              <w:pStyle w:val="BodyText"/>
            </w:pPr>
            <w:r>
              <w:rPr/>
              <w:t/>
            </w:r>
          </w:p>
        </w:tc>
        <w:tc>
          <w:tcPr>
            <w:tcW w:w="5200" w:type="dxa"/>
            <w:tcBorders/>
            <w:vAlign w:val="center"/>
          </w:tcPr>
          <w:p>
            <w:pPr>
              <w:pStyle w:val="BodyText"/>
            </w:pPr>
            <w:r>
              <w:rPr/>
              <w:t>King MZ</w:t>
            </w:r>
          </w:p>
        </w:tc>
        <w:tc>
          <w:tcPr>
            <w:tcW w:w="3262" w:type="dxa"/>
            <w:tcBorders/>
            <w:vAlign w:val="center"/>
          </w:tcPr>
          <w:p>
            <w:pPr>
              <w:pStyle w:val="BodyText"/>
            </w:pPr>
            <w:r>
              <w:rPr/>
              <w:t>3</w:t>
            </w:r>
          </w:p>
        </w:tc>
      </w:tr>
      <w:tr>
        <w:trPr/>
        <w:tc>
          <w:tcPr>
            <w:tcW w:w="2700" w:type="dxa"/>
            <w:tcBorders/>
            <w:vAlign w:val="center"/>
          </w:tcPr>
          <w:p>
            <w:pPr>
              <w:pStyle w:val="BodyText"/>
            </w:pPr>
            <w:r>
              <w:rPr/>
              <w:t>Zambia</w:t>
            </w:r>
          </w:p>
        </w:tc>
        <w:tc>
          <w:tcPr>
            <w:tcW w:w="5200" w:type="dxa"/>
            <w:tcBorders/>
            <w:vAlign w:val="center"/>
          </w:tcPr>
          <w:p>
            <w:pPr>
              <w:pStyle w:val="BodyText"/>
            </w:pPr>
            <w:r>
              <w:rPr/>
              <w:t>Massaj</w:t>
            </w:r>
          </w:p>
        </w:tc>
        <w:tc>
          <w:tcPr>
            <w:tcW w:w="3262" w:type="dxa"/>
            <w:tcBorders/>
            <w:vAlign w:val="center"/>
          </w:tcPr>
          <w:p>
            <w:pPr>
              <w:pStyle w:val="BodyText"/>
            </w:pPr>
            <w:r>
              <w:rPr/>
              <w:t>5</w:t>
            </w:r>
          </w:p>
        </w:tc>
      </w:tr>
      <w:tr>
        <w:trPr/>
        <w:tc>
          <w:tcPr>
            <w:tcW w:w="2700" w:type="dxa"/>
            <w:tcBorders/>
            <w:vAlign w:val="center"/>
          </w:tcPr>
          <w:p>
            <w:pPr>
              <w:pStyle w:val="BodyText"/>
            </w:pPr>
            <w:r>
              <w:rPr/>
              <w:t/>
            </w:r>
          </w:p>
        </w:tc>
        <w:tc>
          <w:tcPr>
            <w:tcW w:w="5200" w:type="dxa"/>
            <w:tcBorders/>
            <w:vAlign w:val="center"/>
          </w:tcPr>
          <w:p>
            <w:pPr>
              <w:pStyle w:val="BodyText"/>
            </w:pPr>
            <w:r>
              <w:rPr/>
              <w:t>Deeletwin</w:t>
            </w:r>
          </w:p>
        </w:tc>
        <w:tc>
          <w:tcPr>
            <w:tcW w:w="3262" w:type="dxa"/>
            <w:tcBorders/>
            <w:vAlign w:val="center"/>
          </w:tcPr>
          <w:p>
            <w:pPr>
              <w:pStyle w:val="BodyText"/>
            </w:pPr>
            <w:r>
              <w:rPr/>
              <w:t>3</w:t>
            </w:r>
          </w:p>
        </w:tc>
      </w:tr>
      <w:tr>
        <w:trPr/>
        <w:tc>
          <w:tcPr>
            <w:tcW w:w="2700" w:type="dxa"/>
            <w:tcBorders/>
            <w:vAlign w:val="center"/>
          </w:tcPr>
          <w:p>
            <w:pPr>
              <w:pStyle w:val="BodyText"/>
            </w:pPr>
            <w:r>
              <w:rPr/>
              <w:t/>
            </w:r>
          </w:p>
        </w:tc>
        <w:tc>
          <w:tcPr>
            <w:tcW w:w="5200" w:type="dxa"/>
            <w:tcBorders/>
            <w:vAlign w:val="center"/>
          </w:tcPr>
          <w:p>
            <w:pPr>
              <w:pStyle w:val="BodyText"/>
            </w:pPr>
            <w:r>
              <w:rPr/>
              <w:t>MeStar Ndalama</w:t>
            </w:r>
          </w:p>
        </w:tc>
        <w:tc>
          <w:tcPr>
            <w:tcW w:w="3262" w:type="dxa"/>
            <w:tcBorders/>
            <w:vAlign w:val="center"/>
          </w:tcPr>
          <w:p>
            <w:pPr>
              <w:pStyle w:val="BodyText"/>
            </w:pPr>
            <w:r>
              <w:rPr/>
              <w:t>3</w:t>
            </w:r>
          </w:p>
        </w:tc>
      </w:tr>
      <w:tr>
        <w:trPr/>
        <w:tc>
          <w:tcPr>
            <w:tcW w:w="2700" w:type="dxa"/>
            <w:tcBorders/>
            <w:vAlign w:val="center"/>
          </w:tcPr>
          <w:p>
            <w:pPr>
              <w:pStyle w:val="BodyText"/>
            </w:pPr>
            <w:r>
              <w:rPr/>
              <w:t/>
            </w:r>
          </w:p>
        </w:tc>
        <w:tc>
          <w:tcPr>
            <w:tcW w:w="5200" w:type="dxa"/>
            <w:tcBorders/>
            <w:vAlign w:val="center"/>
          </w:tcPr>
          <w:p>
            <w:pPr>
              <w:pStyle w:val="BodyText"/>
            </w:pPr>
            <w:r>
              <w:rPr/>
              <w:t>Navy Samboko</w:t>
            </w:r>
          </w:p>
        </w:tc>
        <w:tc>
          <w:tcPr>
            <w:tcW w:w="3262" w:type="dxa"/>
            <w:tcBorders/>
            <w:vAlign w:val="center"/>
          </w:tcPr>
          <w:p>
            <w:pPr>
              <w:pStyle w:val="BodyText"/>
            </w:pPr>
            <w:r>
              <w:rPr/>
              <w:t>2</w:t>
            </w:r>
          </w:p>
        </w:tc>
      </w:tr>
      <w:tr>
        <w:trPr/>
        <w:tc>
          <w:tcPr>
            <w:tcW w:w="2700" w:type="dxa"/>
            <w:tcBorders/>
            <w:vAlign w:val="center"/>
          </w:tcPr>
          <w:p>
            <w:pPr>
              <w:pStyle w:val="BodyText"/>
            </w:pPr>
            <w:r>
              <w:rPr/>
              <w:t>Cameroon</w:t>
            </w:r>
          </w:p>
        </w:tc>
        <w:tc>
          <w:tcPr>
            <w:tcW w:w="5200" w:type="dxa"/>
            <w:tcBorders/>
            <w:vAlign w:val="center"/>
          </w:tcPr>
          <w:p>
            <w:pPr>
              <w:pStyle w:val="BodyText"/>
            </w:pPr>
            <w:r>
              <w:rPr/>
              <w:t>Lyonga</w:t>
            </w:r>
          </w:p>
        </w:tc>
        <w:tc>
          <w:tcPr>
            <w:tcW w:w="3262" w:type="dxa"/>
            <w:tcBorders/>
            <w:vAlign w:val="center"/>
          </w:tcPr>
          <w:p>
            <w:pPr>
              <w:pStyle w:val="BodyText"/>
            </w:pPr>
            <w:r>
              <w:rPr/>
              <w:t>5</w:t>
            </w:r>
          </w:p>
        </w:tc>
      </w:tr>
      <w:tr>
        <w:trPr/>
        <w:tc>
          <w:tcPr>
            <w:tcW w:w="2700" w:type="dxa"/>
            <w:tcBorders/>
            <w:vAlign w:val="center"/>
          </w:tcPr>
          <w:p>
            <w:pPr>
              <w:pStyle w:val="BodyText"/>
            </w:pPr>
            <w:r>
              <w:rPr/>
              <w:t>Zanzibar</w:t>
            </w:r>
          </w:p>
        </w:tc>
        <w:tc>
          <w:tcPr>
            <w:tcW w:w="5200" w:type="dxa"/>
            <w:tcBorders/>
            <w:vAlign w:val="center"/>
          </w:tcPr>
          <w:p>
            <w:pPr>
              <w:pStyle w:val="BodyText"/>
            </w:pPr>
            <w:r>
              <w:rPr/>
              <w:t>Zoungu Pori</w:t>
            </w:r>
          </w:p>
        </w:tc>
        <w:tc>
          <w:tcPr>
            <w:tcW w:w="3262" w:type="dxa"/>
            <w:tcBorders/>
            <w:vAlign w:val="center"/>
          </w:tcPr>
          <w:p>
            <w:pPr>
              <w:pStyle w:val="BodyText"/>
            </w:pPr>
            <w:r>
              <w:rPr/>
              <w:t>6</w:t>
            </w:r>
          </w:p>
        </w:tc>
      </w:tr>
      <w:tr>
        <w:trPr/>
        <w:tc>
          <w:tcPr>
            <w:tcW w:w="2700" w:type="dxa"/>
            <w:tcBorders/>
            <w:vAlign w:val="center"/>
          </w:tcPr>
          <w:p>
            <w:pPr>
              <w:pStyle w:val="BodyText"/>
            </w:pPr>
            <w:r>
              <w:rPr/>
              <w:t>Eswatini</w:t>
            </w:r>
          </w:p>
        </w:tc>
        <w:tc>
          <w:tcPr>
            <w:tcW w:w="5200" w:type="dxa"/>
            <w:tcBorders/>
            <w:vAlign w:val="center"/>
          </w:tcPr>
          <w:p>
            <w:pPr>
              <w:pStyle w:val="BodyText"/>
            </w:pPr>
            <w:r>
              <w:rPr/>
              <w:t>Ntokozo</w:t>
            </w:r>
          </w:p>
        </w:tc>
        <w:tc>
          <w:tcPr>
            <w:tcW w:w="3262" w:type="dxa"/>
            <w:tcBorders/>
            <w:vAlign w:val="center"/>
          </w:tcPr>
          <w:p>
            <w:pPr>
              <w:pStyle w:val="BodyText"/>
            </w:pPr>
            <w:r>
              <w:rPr/>
              <w:t>4</w:t>
            </w:r>
          </w:p>
        </w:tc>
      </w:tr>
      <w:tr>
        <w:trPr/>
        <w:tc>
          <w:tcPr>
            <w:tcW w:w="2700" w:type="dxa"/>
            <w:tcBorders/>
            <w:vAlign w:val="center"/>
          </w:tcPr>
          <w:p>
            <w:pPr>
              <w:pStyle w:val="BodyText"/>
            </w:pPr>
            <w:r>
              <w:rPr/>
              <w:t>Ghana</w:t>
            </w:r>
          </w:p>
        </w:tc>
        <w:tc>
          <w:tcPr>
            <w:tcW w:w="5200" w:type="dxa"/>
            <w:tcBorders/>
            <w:vAlign w:val="center"/>
          </w:tcPr>
          <w:p>
            <w:pPr>
              <w:pStyle w:val="BodyText"/>
            </w:pPr>
            <w:r>
              <w:rPr/>
              <w:t>Emmanuel —</w:t>
            </w:r>
          </w:p>
        </w:tc>
        <w:tc>
          <w:tcPr>
            <w:tcW w:w="3262" w:type="dxa"/>
            <w:tcBorders/>
            <w:vAlign w:val="center"/>
          </w:tcPr>
          <w:p>
            <w:pPr>
              <w:pStyle w:val="BodyText"/>
            </w:pPr>
            <w:r>
              <w:rPr/>
              <w:t>—</w:t>
            </w:r>
          </w:p>
        </w:tc>
      </w:tr>
      <w:tr>
        <w:trPr/>
        <w:tc>
          <w:tcPr>
            <w:tcW w:w="2700" w:type="dxa"/>
            <w:tcBorders/>
            <w:vAlign w:val="center"/>
          </w:tcPr>
          <w:p>
            <w:pPr>
              <w:pStyle w:val="BodyText"/>
            </w:pPr>
            <w:r>
              <w:rPr/>
              <w:t/>
            </w:r>
          </w:p>
        </w:tc>
        <w:tc>
          <w:tcPr>
            <w:tcW w:w="5200" w:type="dxa"/>
            <w:tcBorders/>
            <w:vAlign w:val="center"/>
          </w:tcPr>
          <w:p>
            <w:pPr>
              <w:pStyle w:val="BodyText"/>
            </w:pPr>
            <w:r>
              <w:rPr/>
              <w:t>OheneMoni —</w:t>
            </w:r>
          </w:p>
        </w:tc>
        <w:tc>
          <w:tcPr>
            <w:tcW w:w="3262" w:type="dxa"/>
            <w:tcBorders/>
            <w:vAlign w:val="center"/>
          </w:tcPr>
          <w:p>
            <w:pPr>
              <w:pStyle w:val="BodyText"/>
            </w:pPr>
            <w:r>
              <w:rPr/>
              <w:t>—</w:t>
            </w:r>
          </w:p>
        </w:tc>
      </w:tr>
      <w:tr>
        <w:trPr/>
        <w:tc>
          <w:tcPr>
            <w:tcW w:w="2700" w:type="dxa"/>
            <w:tcBorders/>
            <w:vAlign w:val="center"/>
          </w:tcPr>
          <w:p>
            <w:pPr>
              <w:pStyle w:val="BodyText"/>
            </w:pPr>
            <w:r>
              <w:rPr/>
              <w:t/>
            </w:r>
          </w:p>
        </w:tc>
        <w:tc>
          <w:tcPr>
            <w:tcW w:w="5200" w:type="dxa"/>
            <w:tcBorders/>
            <w:vAlign w:val="center"/>
          </w:tcPr>
          <w:p>
            <w:pPr>
              <w:pStyle w:val="BodyText"/>
            </w:pPr>
            <w:r>
              <w:rPr/>
              <w:t>Tycuun —</w:t>
            </w:r>
          </w:p>
        </w:tc>
        <w:tc>
          <w:tcPr>
            <w:tcW w:w="3262" w:type="dxa"/>
            <w:tcBorders/>
            <w:vAlign w:val="center"/>
          </w:tcPr>
          <w:p>
            <w:pPr>
              <w:pStyle w:val="BodyText"/>
            </w:pPr>
            <w:r>
              <w:rPr/>
              <w:t>—</w:t>
            </w:r>
          </w:p>
        </w:tc>
      </w:tr>
      <w:tr>
        <w:trPr/>
        <w:tc>
          <w:tcPr>
            <w:tcW w:w="2700" w:type="dxa"/>
            <w:tcBorders/>
            <w:vAlign w:val="center"/>
          </w:tcPr>
          <w:p>
            <w:pPr>
              <w:pStyle w:val="BodyText"/>
            </w:pPr>
            <w:r>
              <w:rPr/>
              <w:t/>
            </w:r>
          </w:p>
        </w:tc>
        <w:tc>
          <w:tcPr>
            <w:tcW w:w="5200" w:type="dxa"/>
            <w:tcBorders/>
            <w:vAlign w:val="center"/>
          </w:tcPr>
          <w:p>
            <w:pPr>
              <w:pStyle w:val="BodyText"/>
            </w:pPr>
            <w:r>
              <w:rPr/>
              <w:t>Sam Akrofi —</w:t>
            </w:r>
          </w:p>
        </w:tc>
        <w:tc>
          <w:tcPr>
            <w:tcW w:w="3262" w:type="dxa"/>
            <w:tcBorders/>
            <w:vAlign w:val="center"/>
          </w:tcPr>
          <w:p>
            <w:pPr>
              <w:pStyle w:val="BodyText"/>
            </w:pPr>
            <w:r>
              <w:rPr/>
              <w:t>—</w:t>
            </w:r>
          </w:p>
        </w:tc>
      </w:tr>
      <w:tr>
        <w:trPr/>
        <w:tc>
          <w:tcPr>
            <w:tcW w:w="2700" w:type="dxa"/>
            <w:tcBorders/>
            <w:vAlign w:val="center"/>
          </w:tcPr>
          <w:p>
            <w:pPr>
              <w:pStyle w:val="BodyText"/>
            </w:pPr>
            <w:r>
              <w:rPr/>
              <w:t/>
            </w:r>
          </w:p>
        </w:tc>
        <w:tc>
          <w:tcPr>
            <w:tcW w:w="5200" w:type="dxa"/>
            <w:tcBorders/>
            <w:vAlign w:val="center"/>
          </w:tcPr>
          <w:p>
            <w:pPr>
              <w:pStyle w:val="BodyText"/>
            </w:pPr>
            <w:r>
              <w:rPr/>
              <w:t>Papirus The Trapst —</w:t>
            </w:r>
          </w:p>
        </w:tc>
        <w:tc>
          <w:tcPr>
            <w:tcW w:w="3262" w:type="dxa"/>
            <w:tcBorders/>
            <w:vAlign w:val="center"/>
          </w:tcPr>
          <w:p>
            <w:pPr>
              <w:pStyle w:val="BodyText"/>
            </w:pPr>
            <w:r>
              <w:rPr/>
              <w:t>—</w:t>
            </w:r>
          </w:p>
        </w:tc>
      </w:tr>
      <w:tr>
        <w:trPr/>
        <w:tc>
          <w:tcPr>
            <w:tcW w:w="2700" w:type="dxa"/>
            <w:tcBorders/>
            <w:vAlign w:val="center"/>
          </w:tcPr>
          <w:p>
            <w:pPr>
              <w:pStyle w:val="BodyText"/>
            </w:pPr>
            <w:r>
              <w:rPr/>
              <w:t>Nigeria</w:t>
            </w:r>
          </w:p>
        </w:tc>
        <w:tc>
          <w:tcPr>
            <w:tcW w:w="5200" w:type="dxa"/>
            <w:tcBorders/>
            <w:vAlign w:val="center"/>
          </w:tcPr>
          <w:p>
            <w:pPr>
              <w:pStyle w:val="BodyText"/>
            </w:pPr>
            <w:r>
              <w:rPr/>
              <w:t>Glory —</w:t>
            </w:r>
          </w:p>
        </w:tc>
        <w:tc>
          <w:tcPr>
            <w:tcW w:w="3262" w:type="dxa"/>
            <w:tcBorders/>
            <w:vAlign w:val="center"/>
          </w:tcPr>
          <w:p>
            <w:pPr>
              <w:pStyle w:val="BodyText"/>
            </w:pPr>
            <w:r>
              <w:rPr/>
              <w:t>—</w:t>
            </w:r>
          </w:p>
        </w:tc>
      </w:tr>
      <w:tr>
        <w:trPr/>
        <w:tc>
          <w:tcPr>
            <w:tcW w:w="2700" w:type="dxa"/>
            <w:tcBorders/>
            <w:vAlign w:val="center"/>
          </w:tcPr>
          <w:p>
            <w:pPr>
              <w:pStyle w:val="BodyText"/>
            </w:pPr>
            <w:r>
              <w:rPr/>
              <w:t/>
            </w:r>
          </w:p>
        </w:tc>
        <w:tc>
          <w:tcPr>
            <w:tcW w:w="5200" w:type="dxa"/>
            <w:tcBorders/>
            <w:vAlign w:val="center"/>
          </w:tcPr>
          <w:p>
            <w:pPr>
              <w:pStyle w:val="BodyText"/>
            </w:pPr>
            <w:r>
              <w:rPr/>
              <w:t>IC Omoalen —</w:t>
            </w:r>
          </w:p>
        </w:tc>
        <w:tc>
          <w:tcPr>
            <w:tcW w:w="3262" w:type="dxa"/>
            <w:tcBorders/>
            <w:vAlign w:val="center"/>
          </w:tcPr>
          <w:p>
            <w:pPr>
              <w:pStyle w:val="BodyText"/>
            </w:pPr>
            <w:r>
              <w:rPr/>
              <w:t>—</w:t>
            </w:r>
          </w:p>
        </w:tc>
      </w:tr>
      <w:tr>
        <w:trPr/>
        <w:tc>
          <w:tcPr>
            <w:tcW w:w="2700" w:type="dxa"/>
            <w:tcBorders/>
            <w:vAlign w:val="center"/>
          </w:tcPr>
          <w:p>
            <w:pPr>
              <w:pStyle w:val="BodyText"/>
            </w:pPr>
            <w:r>
              <w:rPr/>
              <w:t/>
            </w:r>
          </w:p>
        </w:tc>
        <w:tc>
          <w:tcPr>
            <w:tcW w:w="5200" w:type="dxa"/>
            <w:tcBorders/>
            <w:vAlign w:val="center"/>
          </w:tcPr>
          <w:p>
            <w:pPr>
              <w:pStyle w:val="BodyText"/>
            </w:pPr>
            <w:r>
              <w:rPr/>
              <w:t>Mc Donian —</w:t>
            </w:r>
          </w:p>
        </w:tc>
        <w:tc>
          <w:tcPr>
            <w:tcW w:w="3262" w:type="dxa"/>
            <w:tcBorders/>
            <w:vAlign w:val="center"/>
          </w:tcPr>
          <w:p>
            <w:pPr>
              <w:pStyle w:val="BodyText"/>
            </w:pPr>
            <w:r>
              <w:rPr/>
              <w:t>—</w:t>
            </w:r>
          </w:p>
        </w:tc>
      </w:tr>
      <w:tr>
        <w:trPr/>
        <w:tc>
          <w:tcPr>
            <w:tcW w:w="2700" w:type="dxa"/>
            <w:tcBorders/>
            <w:vAlign w:val="center"/>
          </w:tcPr>
          <w:p>
            <w:pPr>
              <w:pStyle w:val="BodyText"/>
            </w:pPr>
            <w:r>
              <w:rPr/>
              <w:t>Lesotho</w:t>
            </w:r>
          </w:p>
        </w:tc>
        <w:tc>
          <w:tcPr>
            <w:tcW w:w="5200" w:type="dxa"/>
            <w:tcBorders/>
            <w:vAlign w:val="center"/>
          </w:tcPr>
          <w:p>
            <w:pPr>
              <w:pStyle w:val="BodyText"/>
            </w:pPr>
            <w:r>
              <w:rPr/>
              <w:t>DJ Letz</w:t>
            </w:r>
          </w:p>
        </w:tc>
        <w:tc>
          <w:tcPr>
            <w:tcW w:w="3262" w:type="dxa"/>
            <w:tcBorders/>
            <w:vAlign w:val="center"/>
          </w:tcPr>
          <w:p>
            <w:pPr>
              <w:pStyle w:val="BodyText"/>
            </w:pPr>
            <w:r>
              <w:rPr/>
              <w:t>4</w:t>
            </w:r>
          </w:p>
        </w:tc>
      </w:tr>
      <w:tr>
        <w:trPr/>
        <w:tc>
          <w:tcPr>
            <w:tcW w:w="2700" w:type="dxa"/>
            <w:tcBorders/>
            <w:vAlign w:val="center"/>
          </w:tcPr>
          <w:p>
            <w:pPr>
              <w:pStyle w:val="BodyText"/>
            </w:pPr>
            <w:r>
              <w:rPr/>
              <w:t/>
            </w:r>
          </w:p>
        </w:tc>
        <w:tc>
          <w:tcPr>
            <w:tcW w:w="5200" w:type="dxa"/>
            <w:tcBorders/>
            <w:vAlign w:val="center"/>
          </w:tcPr>
          <w:p>
            <w:pPr>
              <w:pStyle w:val="BodyText"/>
            </w:pPr>
            <w:r>
              <w:rPr/>
              <w:t>Seradu</w:t>
            </w:r>
          </w:p>
        </w:tc>
        <w:tc>
          <w:tcPr>
            <w:tcW w:w="3262" w:type="dxa"/>
            <w:tcBorders/>
            <w:vAlign w:val="center"/>
          </w:tcPr>
          <w:p>
            <w:pPr>
              <w:pStyle w:val="BodyText"/>
            </w:pPr>
            <w:r>
              <w:rPr/>
              <w:t>4</w:t>
            </w:r>
          </w:p>
        </w:tc>
      </w:tr>
      <w:tr>
        <w:trPr/>
        <w:tc>
          <w:tcPr>
            <w:tcW w:w="2700" w:type="dxa"/>
            <w:tcBorders/>
            <w:vAlign w:val="center"/>
          </w:tcPr>
          <w:p>
            <w:pPr>
              <w:pStyle w:val="BodyText"/>
            </w:pPr>
            <w:r>
              <w:rPr/>
              <w:t>Botswana</w:t>
            </w:r>
          </w:p>
        </w:tc>
        <w:tc>
          <w:tcPr>
            <w:tcW w:w="5200" w:type="dxa"/>
            <w:tcBorders/>
            <w:vAlign w:val="center"/>
          </w:tcPr>
          <w:p>
            <w:pPr>
              <w:pStyle w:val="BodyText"/>
            </w:pPr>
            <w:r>
              <w:rPr/>
              <w:t>Orttell Phillimon</w:t>
            </w:r>
          </w:p>
        </w:tc>
        <w:tc>
          <w:tcPr>
            <w:tcW w:w="3262" w:type="dxa"/>
            <w:tcBorders/>
            <w:vAlign w:val="center"/>
          </w:tcPr>
          <w:p>
            <w:pPr>
              <w:pStyle w:val="BodyText"/>
            </w:pPr>
            <w:r>
              <w:rPr/>
              <w:t>4</w:t>
            </w:r>
          </w:p>
        </w:tc>
      </w:tr>
      <w:tr>
        <w:trPr/>
        <w:tc>
          <w:tcPr>
            <w:tcW w:w="2700" w:type="dxa"/>
            <w:tcBorders/>
            <w:vAlign w:val="center"/>
          </w:tcPr>
          <w:p>
            <w:pPr>
              <w:pStyle w:val="BodyText"/>
            </w:pPr>
            <w:r>
              <w:rPr/>
              <w:t/>
            </w:r>
          </w:p>
        </w:tc>
        <w:tc>
          <w:tcPr>
            <w:tcW w:w="5200" w:type="dxa"/>
            <w:tcBorders/>
            <w:vAlign w:val="center"/>
          </w:tcPr>
          <w:p>
            <w:pPr>
              <w:pStyle w:val="BodyText"/>
            </w:pPr>
            <w:r>
              <w:rPr/>
              <w:t>Modubanthakga</w:t>
            </w:r>
          </w:p>
        </w:tc>
        <w:tc>
          <w:tcPr>
            <w:tcW w:w="3262" w:type="dxa"/>
            <w:tcBorders/>
            <w:vAlign w:val="center"/>
          </w:tcPr>
          <w:p>
            <w:pPr>
              <w:pStyle w:val="BodyText"/>
            </w:pPr>
            <w:r>
              <w:rPr/>
              <w:t>4</w:t>
            </w:r>
          </w:p>
        </w:tc>
      </w:tr>
      <w:tr>
        <w:trPr/>
        <w:tc>
          <w:tcPr>
            <w:tcW w:w="2700" w:type="dxa"/>
            <w:tcBorders/>
            <w:vAlign w:val="center"/>
          </w:tcPr>
          <w:p>
            <w:pPr>
              <w:pStyle w:val="BodyText"/>
            </w:pPr>
            <w:r>
              <w:rPr/>
              <w:t>Namibia</w:t>
            </w:r>
          </w:p>
        </w:tc>
        <w:tc>
          <w:tcPr>
            <w:tcW w:w="5200" w:type="dxa"/>
            <w:tcBorders/>
            <w:vAlign w:val="center"/>
          </w:tcPr>
          <w:p>
            <w:pPr>
              <w:pStyle w:val="BodyText"/>
            </w:pPr>
            <w:r>
              <w:rPr/>
              <w:t>Eino John</w:t>
            </w:r>
          </w:p>
        </w:tc>
        <w:tc>
          <w:tcPr>
            <w:tcW w:w="3262" w:type="dxa"/>
            <w:tcBorders/>
            <w:vAlign w:val="center"/>
          </w:tcPr>
          <w:p>
            <w:pPr>
              <w:pStyle w:val="BodyText"/>
            </w:pPr>
            <w:r>
              <w:rPr/>
              <w:t>5</w:t>
            </w:r>
          </w:p>
        </w:tc>
      </w:tr>
      <w:tr>
        <w:trPr/>
        <w:tc>
          <w:tcPr>
            <w:tcW w:w="2700" w:type="dxa"/>
            <w:tcBorders/>
            <w:vAlign w:val="center"/>
          </w:tcPr>
          <w:p>
            <w:pPr>
              <w:pStyle w:val="BodyText"/>
            </w:pPr>
            <w:r>
              <w:rPr/>
              <w:t>Kenya</w:t>
            </w:r>
          </w:p>
        </w:tc>
        <w:tc>
          <w:tcPr>
            <w:tcW w:w="5200" w:type="dxa"/>
            <w:tcBorders/>
            <w:vAlign w:val="center"/>
          </w:tcPr>
          <w:p>
            <w:pPr>
              <w:pStyle w:val="BodyText"/>
            </w:pPr>
            <w:r>
              <w:rPr/>
              <w:t>Mike Strano</w:t>
            </w:r>
          </w:p>
        </w:tc>
        <w:tc>
          <w:tcPr>
            <w:tcW w:w="3262" w:type="dxa"/>
            <w:tcBorders/>
            <w:vAlign w:val="center"/>
          </w:tcPr>
          <w:p>
            <w:pPr>
              <w:pStyle w:val="BodyText"/>
            </w:pPr>
            <w:r>
              <w:rPr/>
              <w:t>5</w:t>
            </w:r>
          </w:p>
        </w:tc>
      </w:tr>
      <w:tr>
        <w:trPr/>
        <w:tc>
          <w:tcPr>
            <w:tcW w:w="2700" w:type="dxa"/>
            <w:tcBorders/>
            <w:vAlign w:val="center"/>
          </w:tcPr>
          <w:p>
            <w:pPr>
              <w:pStyle w:val="BodyText"/>
            </w:pPr>
            <w:r>
              <w:rPr/>
              <w:t>Mauritius</w:t>
            </w:r>
          </w:p>
        </w:tc>
        <w:tc>
          <w:tcPr>
            <w:tcW w:w="5200" w:type="dxa"/>
            <w:tcBorders/>
            <w:vAlign w:val="center"/>
          </w:tcPr>
          <w:p>
            <w:pPr>
              <w:pStyle w:val="BodyText"/>
            </w:pPr>
            <w:r>
              <w:rPr/>
              <w:t>Stephan Rezannah</w:t>
            </w:r>
          </w:p>
        </w:tc>
        <w:tc>
          <w:tcPr>
            <w:tcW w:w="3262" w:type="dxa"/>
            <w:tcBorders/>
            <w:vAlign w:val="center"/>
          </w:tcPr>
          <w:p>
            <w:pPr>
              <w:pStyle w:val="BodyText"/>
            </w:pPr>
            <w:r>
              <w:rPr/>
              <w:t>5</w:t>
            </w:r>
          </w:p>
        </w:tc>
      </w:tr>
      <w:tr>
        <w:trPr/>
        <w:tc>
          <w:tcPr>
            <w:tcW w:w="2700" w:type="dxa"/>
            <w:tcBorders/>
            <w:vAlign w:val="center"/>
          </w:tcPr>
          <w:p>
            <w:pPr>
              <w:pStyle w:val="BodyText"/>
            </w:pPr>
            <w:r>
              <w:rPr/>
              <w:t>Seychelles</w:t>
            </w:r>
          </w:p>
        </w:tc>
        <w:tc>
          <w:tcPr>
            <w:tcW w:w="5200" w:type="dxa"/>
            <w:tcBorders/>
            <w:vAlign w:val="center"/>
          </w:tcPr>
          <w:p>
            <w:pPr>
              <w:pStyle w:val="BodyText"/>
            </w:pPr>
            <w:r>
              <w:rPr/>
              <w:t>Jimmy Savy</w:t>
            </w:r>
          </w:p>
        </w:tc>
        <w:tc>
          <w:tcPr>
            <w:tcW w:w="3262" w:type="dxa"/>
            <w:tcBorders/>
            <w:vAlign w:val="center"/>
          </w:tcPr>
          <w:p>
            <w:pPr>
              <w:pStyle w:val="BodyText"/>
            </w:pPr>
            <w:r>
              <w:rPr/>
              <w:t>6</w:t>
            </w:r>
          </w:p>
        </w:tc>
      </w:tr>
      <w:tr>
        <w:trPr/>
        <w:tc>
          <w:tcPr>
            <w:tcW w:w="2700" w:type="dxa"/>
            <w:tcBorders/>
            <w:vAlign w:val="center"/>
          </w:tcPr>
          <w:p>
            <w:pPr>
              <w:pStyle w:val="BodyText"/>
            </w:pPr>
            <w:r>
              <w:rPr/>
              <w:t>India</w:t>
            </w:r>
          </w:p>
        </w:tc>
        <w:tc>
          <w:tcPr>
            <w:tcW w:w="5200" w:type="dxa"/>
            <w:tcBorders/>
            <w:vAlign w:val="center"/>
          </w:tcPr>
          <w:p>
            <w:pPr>
              <w:pStyle w:val="BodyText"/>
            </w:pPr>
            <w:r>
              <w:rPr/>
              <w:t>Sonya Mazumdar</w:t>
            </w:r>
          </w:p>
        </w:tc>
        <w:tc>
          <w:tcPr>
            <w:tcW w:w="3262" w:type="dxa"/>
            <w:tcBorders/>
            <w:vAlign w:val="center"/>
          </w:tcPr>
          <w:p>
            <w:pPr>
              <w:pStyle w:val="BodyText"/>
            </w:pPr>
            <w:r>
              <w:rPr/>
              <w:t>6</w:t>
            </w:r>
          </w:p>
        </w:tc>
      </w:tr>
      <w:tr>
        <w:trPr/>
        <w:tc>
          <w:tcPr>
            <w:tcW w:w="2700" w:type="dxa"/>
            <w:tcBorders/>
            <w:vAlign w:val="center"/>
          </w:tcPr>
          <w:p>
            <w:pPr>
              <w:pStyle w:val="BodyText"/>
            </w:pPr>
            <w:r>
              <w:rPr/>
              <w:t>Australia</w:t>
            </w:r>
          </w:p>
        </w:tc>
        <w:tc>
          <w:tcPr>
            <w:tcW w:w="5200" w:type="dxa"/>
            <w:tcBorders/>
            <w:vAlign w:val="center"/>
          </w:tcPr>
          <w:p>
            <w:pPr>
              <w:pStyle w:val="BodyText"/>
            </w:pPr>
            <w:r>
              <w:rPr/>
              <w:t>Stani Goma</w:t>
            </w:r>
          </w:p>
        </w:tc>
        <w:tc>
          <w:tcPr>
            <w:tcW w:w="3262" w:type="dxa"/>
            <w:tcBorders/>
            <w:vAlign w:val="center"/>
          </w:tcPr>
          <w:p>
            <w:pPr>
              <w:pStyle w:val="BodyText"/>
            </w:pPr>
            <w:r>
              <w:rPr/>
              <w:t>3</w:t>
            </w:r>
          </w:p>
        </w:tc>
      </w:tr>
      <w:tr>
        <w:trPr/>
        <w:tc>
          <w:tcPr>
            <w:tcW w:w="2700" w:type="dxa"/>
            <w:tcBorders/>
            <w:vAlign w:val="center"/>
          </w:tcPr>
          <w:p>
            <w:pPr>
              <w:pStyle w:val="BodyText"/>
            </w:pPr>
            <w:r>
              <w:rPr/>
              <w:t>Germany</w:t>
            </w:r>
          </w:p>
        </w:tc>
        <w:tc>
          <w:tcPr>
            <w:tcW w:w="5200" w:type="dxa"/>
            <w:tcBorders/>
            <w:vAlign w:val="center"/>
          </w:tcPr>
          <w:p>
            <w:pPr>
              <w:pStyle w:val="BodyText"/>
            </w:pPr>
            <w:r>
              <w:rPr/>
              <w:t>Daria Wabnitz</w:t>
            </w:r>
          </w:p>
        </w:tc>
        <w:tc>
          <w:tcPr>
            <w:tcW w:w="3262" w:type="dxa"/>
            <w:tcBorders/>
            <w:vAlign w:val="center"/>
          </w:tcPr>
          <w:p>
            <w:pPr>
              <w:pStyle w:val="BodyText"/>
            </w:pPr>
            <w:r>
              <w:rPr/>
              <w:t>3</w:t>
            </w:r>
          </w:p>
        </w:tc>
      </w:tr>
      <w:tr>
        <w:trPr/>
        <w:tc>
          <w:tcPr>
            <w:tcW w:w="2700" w:type="dxa"/>
            <w:tcBorders/>
            <w:vAlign w:val="center"/>
          </w:tcPr>
          <w:p>
            <w:pPr>
              <w:pStyle w:val="BodyText"/>
            </w:pPr>
            <w:r>
              <w:rPr/>
              <w:t>United Kingdom</w:t>
            </w:r>
          </w:p>
        </w:tc>
        <w:tc>
          <w:tcPr>
            <w:tcW w:w="5200" w:type="dxa"/>
            <w:tcBorders/>
            <w:vAlign w:val="center"/>
          </w:tcPr>
          <w:p>
            <w:pPr>
              <w:pStyle w:val="BodyText"/>
            </w:pPr>
            <w:r>
              <w:rPr/>
              <w:t>DJ Scratchy</w:t>
            </w:r>
          </w:p>
        </w:tc>
        <w:tc>
          <w:tcPr>
            <w:tcW w:w="3262" w:type="dxa"/>
            <w:tcBorders/>
            <w:vAlign w:val="center"/>
          </w:tcPr>
          <w:p>
            <w:pPr>
              <w:pStyle w:val="BodyText"/>
            </w:pPr>
            <w:r>
              <w:rPr/>
              <w:t>4</w:t>
            </w:r>
          </w:p>
        </w:tc>
      </w:tr>
      <w:tr>
        <w:trPr/>
        <w:tc>
          <w:tcPr>
            <w:tcW w:w="2700" w:type="dxa"/>
            <w:tcBorders/>
            <w:vAlign w:val="center"/>
          </w:tcPr>
          <w:p>
            <w:pPr>
              <w:pStyle w:val="BodyText"/>
            </w:pPr>
            <w:r>
              <w:rPr/>
              <w:t>Poland</w:t>
            </w:r>
          </w:p>
        </w:tc>
        <w:tc>
          <w:tcPr>
            <w:tcW w:w="5200" w:type="dxa"/>
            <w:tcBorders/>
            <w:vAlign w:val="center"/>
          </w:tcPr>
          <w:p>
            <w:pPr>
              <w:pStyle w:val="BodyText"/>
            </w:pPr>
            <w:r>
              <w:rPr/>
              <w:t>Marta Dobosz</w:t>
            </w:r>
          </w:p>
        </w:tc>
        <w:tc>
          <w:tcPr>
            <w:tcW w:w="3262" w:type="dxa"/>
            <w:tcBorders/>
            <w:vAlign w:val="center"/>
          </w:tcPr>
          <w:p>
            <w:pPr>
              <w:pStyle w:val="BodyText"/>
            </w:pPr>
            <w:r>
              <w:rPr/>
              <w:t>2</w:t>
            </w:r>
          </w:p>
        </w:tc>
      </w:tr>
      <w:tr>
        <w:trPr/>
        <w:tc>
          <w:tcPr>
            <w:tcW w:w="2700" w:type="dxa"/>
            <w:tcBorders/>
            <w:vAlign w:val="center"/>
          </w:tcPr>
          <w:p>
            <w:pPr>
              <w:pStyle w:val="BodyText"/>
            </w:pPr>
            <w:r>
              <w:rPr/>
              <w:t>France</w:t>
            </w:r>
          </w:p>
        </w:tc>
        <w:tc>
          <w:tcPr>
            <w:tcW w:w="5200" w:type="dxa"/>
            <w:tcBorders/>
            <w:vAlign w:val="center"/>
          </w:tcPr>
          <w:p>
            <w:pPr>
              <w:pStyle w:val="BodyText"/>
            </w:pPr>
            <w:r>
              <w:rPr/>
              <w:t>Bernard Aubert</w:t>
            </w:r>
          </w:p>
        </w:tc>
        <w:tc>
          <w:tcPr>
            <w:tcW w:w="3262" w:type="dxa"/>
            <w:tcBorders/>
            <w:vAlign w:val="center"/>
          </w:tcPr>
          <w:p>
            <w:pPr>
              <w:pStyle w:val="BodyText"/>
            </w:pPr>
            <w:r>
              <w:rPr/>
              <w:t>3</w:t>
            </w:r>
          </w:p>
        </w:tc>
      </w:tr>
      <w:tr>
        <w:trPr/>
        <w:tc>
          <w:tcPr>
            <w:tcW w:w="2700" w:type="dxa"/>
            <w:tcBorders/>
            <w:vAlign w:val="center"/>
          </w:tcPr>
          <w:p>
            <w:pPr>
              <w:pStyle w:val="BodyText"/>
            </w:pPr>
            <w:r>
              <w:rPr/>
              <w:t>Morocco</w:t>
            </w:r>
          </w:p>
        </w:tc>
        <w:tc>
          <w:tcPr>
            <w:tcW w:w="5200" w:type="dxa"/>
            <w:tcBorders/>
            <w:vAlign w:val="center"/>
          </w:tcPr>
          <w:p>
            <w:pPr>
              <w:pStyle w:val="BodyText"/>
            </w:pPr>
            <w:r>
              <w:rPr/>
              <w:t>Thman Nejmeddine</w:t>
            </w:r>
          </w:p>
        </w:tc>
        <w:tc>
          <w:tcPr>
            <w:tcW w:w="3262" w:type="dxa"/>
            <w:tcBorders/>
            <w:vAlign w:val="center"/>
          </w:tcPr>
          <w:p>
            <w:pPr>
              <w:pStyle w:val="BodyText"/>
            </w:pPr>
            <w:r>
              <w:rPr/>
              <w:t>4</w:t>
            </w:r>
          </w:p>
        </w:tc>
      </w:tr>
      <w:tr>
        <w:trPr/>
        <w:tc>
          <w:tcPr>
            <w:tcW w:w="2700" w:type="dxa"/>
            <w:tcBorders/>
            <w:vAlign w:val="center"/>
          </w:tcPr>
          <w:p>
            <w:pPr>
              <w:pStyle w:val="BodyText"/>
            </w:pPr>
            <w:r>
              <w:rPr/>
              <w:t>Réunion Island</w:t>
            </w:r>
          </w:p>
        </w:tc>
        <w:tc>
          <w:tcPr>
            <w:tcW w:w="5200" w:type="dxa"/>
            <w:tcBorders/>
            <w:vAlign w:val="center"/>
          </w:tcPr>
          <w:p>
            <w:pPr>
              <w:pStyle w:val="BodyText"/>
            </w:pPr>
            <w:r>
              <w:rPr/>
              <w:t>Blanc-Blanc</w:t>
            </w:r>
          </w:p>
        </w:tc>
        <w:tc>
          <w:tcPr>
            <w:tcW w:w="3262" w:type="dxa"/>
            <w:tcBorders/>
            <w:vAlign w:val="center"/>
          </w:tcPr>
          <w:p>
            <w:pPr>
              <w:pStyle w:val="BodyText"/>
            </w:pPr>
            <w:r>
              <w:rPr/>
              <w:t>5</w:t>
            </w:r>
          </w:p>
        </w:tc>
      </w:tr>
      <w:tr>
        <w:trPr/>
        <w:tc>
          <w:tcPr>
            <w:tcW w:w="2700" w:type="dxa"/>
            <w:tcBorders/>
            <w:vAlign w:val="center"/>
          </w:tcPr>
          <w:p>
            <w:pPr>
              <w:pStyle w:val="BodyText"/>
            </w:pPr>
            <w:r>
              <w:rPr/>
              <w:t/>
            </w:r>
          </w:p>
        </w:tc>
        <w:tc>
          <w:tcPr>
            <w:tcW w:w="5200" w:type="dxa"/>
            <w:tcBorders/>
            <w:vAlign w:val="center"/>
          </w:tcPr>
          <w:p>
            <w:pPr>
              <w:pStyle w:val="BodyText"/>
            </w:pPr>
            <w:r>
              <w:rPr/>
              <w:t>Remna</w:t>
            </w:r>
          </w:p>
        </w:tc>
        <w:tc>
          <w:tcPr>
            <w:tcW w:w="3262" w:type="dxa"/>
            <w:tcBorders/>
            <w:vAlign w:val="center"/>
          </w:tcPr>
          <w:p>
            <w:pPr>
              <w:pStyle w:val="BodyText"/>
            </w:pPr>
            <w:r>
              <w:rPr/>
              <w:t>3</w:t>
            </w:r>
          </w:p>
        </w:tc>
      </w:tr>
      <w:tr>
        <w:trPr/>
        <w:tc>
          <w:tcPr>
            <w:tcW w:w="2700" w:type="dxa"/>
            <w:tcBorders/>
            <w:vAlign w:val="center"/>
          </w:tcPr>
          <w:p>
            <w:pPr>
              <w:pStyle w:val="BodyText"/>
            </w:pPr>
            <w:r>
              <w:rPr/>
              <w:t>North America — Miami</w:t>
            </w:r>
          </w:p>
        </w:tc>
        <w:tc>
          <w:tcPr>
            <w:tcW w:w="5200" w:type="dxa"/>
            <w:tcBorders/>
            <w:vAlign w:val="center"/>
          </w:tcPr>
          <w:p>
            <w:pPr>
              <w:pStyle w:val="BodyText"/>
            </w:pPr>
            <w:r>
              <w:rPr/>
              <w:t>Big Suave</w:t>
            </w:r>
          </w:p>
        </w:tc>
        <w:tc>
          <w:tcPr>
            <w:tcW w:w="3262" w:type="dxa"/>
            <w:tcBorders/>
            <w:vAlign w:val="center"/>
          </w:tcPr>
          <w:p>
            <w:pPr>
              <w:pStyle w:val="BodyText"/>
            </w:pPr>
            <w:r>
              <w:rPr/>
              <w:t>4</w:t>
            </w:r>
          </w:p>
        </w:tc>
      </w:tr>
      <w:tr>
        <w:trPr/>
        <w:tc>
          <w:tcPr>
            <w:tcW w:w="2700" w:type="dxa"/>
            <w:tcBorders/>
            <w:vAlign w:val="center"/>
          </w:tcPr>
          <w:p>
            <w:pPr>
              <w:pStyle w:val="BodyText"/>
            </w:pPr>
            <w:r>
              <w:rPr/>
              <w:t>Singapore</w:t>
            </w:r>
          </w:p>
        </w:tc>
        <w:tc>
          <w:tcPr>
            <w:tcW w:w="5200" w:type="dxa"/>
            <w:tcBorders/>
            <w:vAlign w:val="center"/>
          </w:tcPr>
          <w:p>
            <w:pPr>
              <w:pStyle w:val="BodyText"/>
            </w:pPr>
            <w:r>
              <w:rPr/>
              <w:t>Tina Garan</w:t>
            </w:r>
          </w:p>
        </w:tc>
        <w:tc>
          <w:tcPr>
            <w:tcW w:w="3262" w:type="dxa"/>
            <w:tcBorders/>
            <w:vAlign w:val="center"/>
          </w:tcPr>
          <w:p>
            <w:pPr>
              <w:pStyle w:val="BodyText"/>
            </w:pPr>
            <w:r>
              <w:rPr/>
              <w:t>3</w:t>
            </w:r>
          </w:p>
        </w:tc>
      </w:tr>
    </w:tbl>
    <w:p>
      <w:pPr>
        <w:pStyle w:val="BodyText"/>
        <w:bidi w:val="0"/>
        <w:jc w:val="start"/>
        <w:rPr/>
      </w:pPr>
      <w:r>
        <w:rPr/>
        <w:t>This network represents more than 100 artist and industry relationships across Africa, North America, Europe, Asia and other strategic markets.</w:t>
      </w:r>
    </w:p>
    <w:p>
      <w:pPr>
        <w:pStyle w:val="BodyText"/>
        <w:bidi w:val="0"/>
        <w:jc w:val="start"/>
        <w:rPr/>
      </w:pPr>
      <w:r>
        <w:rPr/>
        <w:t>The network will be formalised into a structured customer-development programme. Ambassadors will support artist introductions, product demonstrations, customer feedback, catalogue onboarding and market expansion.</w:t>
      </w:r>
    </w:p>
    <w:p>
      <w:pPr>
        <w:pStyle w:val="Heading2"/>
        <w:bidi w:val="0"/>
        <w:jc w:val="start"/>
        <w:rPr/>
      </w:pPr>
      <w:r>
        <w:rPr/>
        <w:t>3. Customer Validation Completed</w:t>
      </w:r>
    </w:p>
    <w:p>
      <w:pPr>
        <w:pStyle w:val="BodyText"/>
        <w:numPr>
          <w:ilvl w:val="0"/>
          <w:numId w:val="1"/>
        </w:numPr>
        <w:tabs>
          <w:tab w:val="clear" w:pos="1134"/>
          <w:tab w:val="left" w:pos="1489" w:leader="none"/>
        </w:tabs>
        <w:bidi w:val="0"/>
        <w:spacing w:before="0" w:after="0"/>
        <w:ind w:hanging="283" w:start="1489"/>
        <w:jc w:val="start"/>
        <w:rPr/>
      </w:pPr>
      <w:r>
        <w:rPr/>
        <w:t>Discussions with artists, managers, producers and music professionals.</w:t>
      </w:r>
    </w:p>
    <w:p>
      <w:pPr>
        <w:pStyle w:val="BodyText"/>
        <w:numPr>
          <w:ilvl w:val="0"/>
          <w:numId w:val="1"/>
        </w:numPr>
        <w:tabs>
          <w:tab w:val="clear" w:pos="1134"/>
          <w:tab w:val="left" w:pos="1489" w:leader="none"/>
        </w:tabs>
        <w:bidi w:val="0"/>
        <w:spacing w:before="0" w:after="0"/>
        <w:ind w:hanging="283" w:start="1489"/>
        <w:jc w:val="start"/>
        <w:rPr/>
      </w:pPr>
      <w:r>
        <w:rPr/>
        <w:t>Engagement through the ambassador network across multiple countries.</w:t>
      </w:r>
    </w:p>
    <w:p>
      <w:pPr>
        <w:pStyle w:val="BodyText"/>
        <w:numPr>
          <w:ilvl w:val="0"/>
          <w:numId w:val="1"/>
        </w:numPr>
        <w:tabs>
          <w:tab w:val="clear" w:pos="1134"/>
          <w:tab w:val="left" w:pos="1489" w:leader="none"/>
        </w:tabs>
        <w:bidi w:val="0"/>
        <w:spacing w:before="0" w:after="0"/>
        <w:ind w:hanging="283" w:start="1489"/>
        <w:jc w:val="start"/>
        <w:rPr/>
      </w:pPr>
      <w:r>
        <w:rPr/>
        <w:t>Demonstrations of the Music City onboarding, artist studio and listening experience.</w:t>
      </w:r>
    </w:p>
    <w:p>
      <w:pPr>
        <w:pStyle w:val="BodyText"/>
        <w:numPr>
          <w:ilvl w:val="0"/>
          <w:numId w:val="1"/>
        </w:numPr>
        <w:tabs>
          <w:tab w:val="clear" w:pos="1134"/>
          <w:tab w:val="left" w:pos="1489" w:leader="none"/>
        </w:tabs>
        <w:bidi w:val="0"/>
        <w:spacing w:before="0" w:after="0"/>
        <w:ind w:hanging="283" w:start="1489"/>
        <w:jc w:val="start"/>
        <w:rPr/>
      </w:pPr>
      <w:r>
        <w:rPr/>
        <w:t>Review of how artists currently distribute, promote and monitor their music.</w:t>
      </w:r>
    </w:p>
    <w:p>
      <w:pPr>
        <w:pStyle w:val="BodyText"/>
        <w:numPr>
          <w:ilvl w:val="0"/>
          <w:numId w:val="1"/>
        </w:numPr>
        <w:tabs>
          <w:tab w:val="clear" w:pos="1134"/>
          <w:tab w:val="left" w:pos="1489" w:leader="none"/>
        </w:tabs>
        <w:bidi w:val="0"/>
        <w:ind w:hanging="283" w:start="1489"/>
        <w:jc w:val="start"/>
        <w:rPr/>
      </w:pPr>
      <w:r>
        <w:rPr/>
        <w:t>Early testing of profiles, uploads, releases, access controls and playback.</w:t>
      </w:r>
    </w:p>
    <w:p>
      <w:pPr>
        <w:pStyle w:val="Heading2"/>
        <w:bidi w:val="0"/>
        <w:jc w:val="start"/>
        <w:rPr/>
      </w:pPr>
      <w:r>
        <w:rPr/>
        <w:t>4. Feedback Received</w:t>
      </w:r>
    </w:p>
    <w:p>
      <w:pPr>
        <w:pStyle w:val="BodyText"/>
        <w:numPr>
          <w:ilvl w:val="0"/>
          <w:numId w:val="2"/>
        </w:numPr>
        <w:tabs>
          <w:tab w:val="clear" w:pos="1134"/>
          <w:tab w:val="left" w:pos="1489" w:leader="none"/>
        </w:tabs>
        <w:bidi w:val="0"/>
        <w:spacing w:before="0" w:after="0"/>
        <w:ind w:hanging="283" w:start="1489"/>
        <w:jc w:val="start"/>
        <w:rPr/>
      </w:pPr>
      <w:r>
        <w:rPr/>
        <w:t>Artists want a simpler onboarding process and clearer first-release guidance.</w:t>
      </w:r>
    </w:p>
    <w:p>
      <w:pPr>
        <w:pStyle w:val="BodyText"/>
        <w:numPr>
          <w:ilvl w:val="0"/>
          <w:numId w:val="2"/>
        </w:numPr>
        <w:tabs>
          <w:tab w:val="clear" w:pos="1134"/>
          <w:tab w:val="left" w:pos="1489" w:leader="none"/>
        </w:tabs>
        <w:bidi w:val="0"/>
        <w:spacing w:before="0" w:after="0"/>
        <w:ind w:hanging="283" w:start="1489"/>
        <w:jc w:val="start"/>
        <w:rPr/>
      </w:pPr>
      <w:r>
        <w:rPr/>
        <w:t>Independent artists want greater international visibility.</w:t>
      </w:r>
    </w:p>
    <w:p>
      <w:pPr>
        <w:pStyle w:val="BodyText"/>
        <w:numPr>
          <w:ilvl w:val="0"/>
          <w:numId w:val="2"/>
        </w:numPr>
        <w:tabs>
          <w:tab w:val="clear" w:pos="1134"/>
          <w:tab w:val="left" w:pos="1489" w:leader="none"/>
        </w:tabs>
        <w:bidi w:val="0"/>
        <w:spacing w:before="0" w:after="0"/>
        <w:ind w:hanging="283" w:start="1489"/>
        <w:jc w:val="start"/>
        <w:rPr/>
      </w:pPr>
      <w:r>
        <w:rPr/>
        <w:t>Artists and labels want transparent release, streaming and revenue information.</w:t>
      </w:r>
    </w:p>
    <w:p>
      <w:pPr>
        <w:pStyle w:val="BodyText"/>
        <w:numPr>
          <w:ilvl w:val="0"/>
          <w:numId w:val="2"/>
        </w:numPr>
        <w:tabs>
          <w:tab w:val="clear" w:pos="1134"/>
          <w:tab w:val="left" w:pos="1489" w:leader="none"/>
        </w:tabs>
        <w:bidi w:val="0"/>
        <w:spacing w:before="0" w:after="0"/>
        <w:ind w:hanging="283" w:start="1489"/>
        <w:jc w:val="start"/>
        <w:rPr/>
      </w:pPr>
      <w:r>
        <w:rPr/>
        <w:t>Labels need tools for managing multiple artists and catalogues.</w:t>
      </w:r>
    </w:p>
    <w:p>
      <w:pPr>
        <w:pStyle w:val="BodyText"/>
        <w:numPr>
          <w:ilvl w:val="0"/>
          <w:numId w:val="2"/>
        </w:numPr>
        <w:tabs>
          <w:tab w:val="clear" w:pos="1134"/>
          <w:tab w:val="left" w:pos="1489" w:leader="none"/>
        </w:tabs>
        <w:bidi w:val="0"/>
        <w:spacing w:before="0" w:after="0"/>
        <w:ind w:hanging="283" w:start="1489"/>
        <w:jc w:val="start"/>
        <w:rPr/>
      </w:pPr>
      <w:r>
        <w:rPr/>
        <w:t>Customers value personal support in addition to a self-service platform.</w:t>
      </w:r>
    </w:p>
    <w:p>
      <w:pPr>
        <w:pStyle w:val="BodyText"/>
        <w:numPr>
          <w:ilvl w:val="0"/>
          <w:numId w:val="2"/>
        </w:numPr>
        <w:tabs>
          <w:tab w:val="clear" w:pos="1134"/>
          <w:tab w:val="left" w:pos="1489" w:leader="none"/>
        </w:tabs>
        <w:bidi w:val="0"/>
        <w:ind w:hanging="283" w:start="1489"/>
        <w:jc w:val="start"/>
        <w:rPr/>
      </w:pPr>
      <w:r>
        <w:rPr/>
        <w:t>Listeners need simple ways to discover artists and play their music.</w:t>
      </w:r>
    </w:p>
    <w:p>
      <w:pPr>
        <w:pStyle w:val="Heading2"/>
        <w:bidi w:val="0"/>
        <w:jc w:val="start"/>
        <w:rPr/>
      </w:pPr>
      <w:r>
        <w:rPr/>
        <w:t>5. Implementation Priorities</w:t>
      </w:r>
    </w:p>
    <w:p>
      <w:pPr>
        <w:pStyle w:val="BodyText"/>
        <w:bidi w:val="0"/>
        <w:jc w:val="start"/>
        <w:rPr/>
      </w:pPr>
      <w:r>
        <w:rPr/>
        <w:t>Music City’s implementation roadmap brings together the full customer journey: artist and fan onboarding, public artist profiles, guided music uploads, catalogue and release management, public and private access controls, artist dashboards, listener discovery and playback.</w:t>
      </w:r>
    </w:p>
    <w:p>
      <w:pPr>
        <w:pStyle w:val="BodyText"/>
        <w:bidi w:val="0"/>
        <w:jc w:val="start"/>
        <w:rPr/>
      </w:pPr>
      <w:r>
        <w:rPr/>
        <w:t>The next implementation phase will focus on first-release onboarding, label catalogue management, customer support, artist reporting, referral tracking, listener discovery and catalogue migration. These workflows will be tested with artists, labels and listeners as they are delivered, allowing Music City to refine the product and strengthen the customer experience.</w:t>
      </w:r>
    </w:p>
    <w:p>
      <w:pPr>
        <w:pStyle w:val="Heading2"/>
        <w:bidi w:val="0"/>
        <w:jc w:val="start"/>
        <w:rPr/>
      </w:pPr>
      <w:r>
        <w:rPr/>
        <w:t>6. Customer Development Model</w:t>
      </w:r>
    </w:p>
    <w:p>
      <w:pPr>
        <w:pStyle w:val="BodyText"/>
        <w:bidi w:val="0"/>
        <w:jc w:val="start"/>
        <w:rPr/>
      </w:pPr>
      <w:r>
        <w:rPr>
          <w:rStyle w:val="Strong"/>
        </w:rPr>
        <w:t>Acquire → Activate → Support → Retain → Refer</w:t>
      </w:r>
    </w:p>
    <w:p>
      <w:pPr>
        <w:pStyle w:val="BodyText"/>
        <w:bidi w:val="0"/>
        <w:jc w:val="start"/>
        <w:rPr/>
      </w:pPr>
      <w:r>
        <w:rPr/>
        <w:t>We will acquire customers through ambassadors, music organisations, universities, events, studios, labels and digital marketing. Activation will be measured by completed profiles, uploaded catalogues and successful releases. Retention will be supported through customer success, release planning, performance data, promotional opportunities and education.</w:t>
      </w:r>
    </w:p>
    <w:p>
      <w:pPr>
        <w:pStyle w:val="Heading2"/>
        <w:bidi w:val="0"/>
        <w:jc w:val="start"/>
        <w:rPr/>
      </w:pPr>
      <w:r>
        <w:rPr/>
        <w:t>7. Goals for the Next Sprint</w:t>
      </w:r>
    </w:p>
    <w:p>
      <w:pPr>
        <w:pStyle w:val="BodyText"/>
        <w:numPr>
          <w:ilvl w:val="0"/>
          <w:numId w:val="3"/>
        </w:numPr>
        <w:tabs>
          <w:tab w:val="clear" w:pos="1134"/>
          <w:tab w:val="left" w:pos="1489" w:leader="none"/>
        </w:tabs>
        <w:bidi w:val="0"/>
        <w:spacing w:before="0" w:after="0"/>
        <w:ind w:hanging="283" w:start="1489"/>
        <w:jc w:val="start"/>
        <w:rPr/>
      </w:pPr>
      <w:r>
        <w:rPr/>
        <w:t>Onboard and interview a focused group of artists and listeners.</w:t>
      </w:r>
    </w:p>
    <w:p>
      <w:pPr>
        <w:pStyle w:val="BodyText"/>
        <w:numPr>
          <w:ilvl w:val="0"/>
          <w:numId w:val="3"/>
        </w:numPr>
        <w:tabs>
          <w:tab w:val="clear" w:pos="1134"/>
          <w:tab w:val="left" w:pos="1489" w:leader="none"/>
        </w:tabs>
        <w:bidi w:val="0"/>
        <w:spacing w:before="0" w:after="0"/>
        <w:ind w:hanging="283" w:start="1489"/>
        <w:jc w:val="start"/>
        <w:rPr/>
      </w:pPr>
      <w:r>
        <w:rPr/>
        <w:t>Track the journey from registration to first release.</w:t>
      </w:r>
    </w:p>
    <w:p>
      <w:pPr>
        <w:pStyle w:val="BodyText"/>
        <w:numPr>
          <w:ilvl w:val="0"/>
          <w:numId w:val="3"/>
        </w:numPr>
        <w:tabs>
          <w:tab w:val="clear" w:pos="1134"/>
          <w:tab w:val="left" w:pos="1489" w:leader="none"/>
        </w:tabs>
        <w:bidi w:val="0"/>
        <w:spacing w:before="0" w:after="0"/>
        <w:ind w:hanging="283" w:start="1489"/>
        <w:jc w:val="start"/>
        <w:rPr/>
      </w:pPr>
      <w:r>
        <w:rPr/>
        <w:t>Identify and remove onboarding and upload barriers.</w:t>
      </w:r>
    </w:p>
    <w:p>
      <w:pPr>
        <w:pStyle w:val="BodyText"/>
        <w:numPr>
          <w:ilvl w:val="0"/>
          <w:numId w:val="3"/>
        </w:numPr>
        <w:tabs>
          <w:tab w:val="clear" w:pos="1134"/>
          <w:tab w:val="left" w:pos="1489" w:leader="none"/>
        </w:tabs>
        <w:bidi w:val="0"/>
        <w:spacing w:before="0" w:after="0"/>
        <w:ind w:hanging="283" w:start="1489"/>
        <w:jc w:val="start"/>
        <w:rPr/>
      </w:pPr>
      <w:r>
        <w:rPr/>
        <w:t>Collect structured feedback after each product demonstration.</w:t>
      </w:r>
    </w:p>
    <w:p>
      <w:pPr>
        <w:pStyle w:val="BodyText"/>
        <w:numPr>
          <w:ilvl w:val="0"/>
          <w:numId w:val="3"/>
        </w:numPr>
        <w:tabs>
          <w:tab w:val="clear" w:pos="1134"/>
          <w:tab w:val="left" w:pos="1489" w:leader="none"/>
        </w:tabs>
        <w:bidi w:val="0"/>
        <w:spacing w:before="0" w:after="0"/>
        <w:ind w:hanging="283" w:start="1489"/>
        <w:jc w:val="start"/>
        <w:rPr/>
      </w:pPr>
      <w:r>
        <w:rPr/>
        <w:t>Improve the artist dashboard based on customer usage.</w:t>
      </w:r>
    </w:p>
    <w:p>
      <w:pPr>
        <w:pStyle w:val="BodyText"/>
        <w:numPr>
          <w:ilvl w:val="0"/>
          <w:numId w:val="3"/>
        </w:numPr>
        <w:tabs>
          <w:tab w:val="clear" w:pos="1134"/>
          <w:tab w:val="left" w:pos="1489" w:leader="none"/>
        </w:tabs>
        <w:bidi w:val="0"/>
        <w:spacing w:before="0" w:after="0"/>
        <w:ind w:hanging="283" w:start="1489"/>
        <w:jc w:val="start"/>
        <w:rPr/>
      </w:pPr>
      <w:r>
        <w:rPr/>
        <w:t>Finalise ambassador onboarding and performance reporting.</w:t>
      </w:r>
    </w:p>
    <w:p>
      <w:pPr>
        <w:pStyle w:val="BodyText"/>
        <w:numPr>
          <w:ilvl w:val="0"/>
          <w:numId w:val="3"/>
        </w:numPr>
        <w:tabs>
          <w:tab w:val="clear" w:pos="1134"/>
          <w:tab w:val="left" w:pos="1489" w:leader="none"/>
        </w:tabs>
        <w:bidi w:val="0"/>
        <w:spacing w:before="0" w:after="0"/>
        <w:ind w:hanging="283" w:start="1489"/>
        <w:jc w:val="start"/>
        <w:rPr/>
      </w:pPr>
      <w:r>
        <w:rPr/>
        <w:t>Secure initial label and institutional pilot relationships.</w:t>
      </w:r>
    </w:p>
    <w:p>
      <w:pPr>
        <w:pStyle w:val="BodyText"/>
        <w:numPr>
          <w:ilvl w:val="0"/>
          <w:numId w:val="3"/>
        </w:numPr>
        <w:tabs>
          <w:tab w:val="clear" w:pos="1134"/>
          <w:tab w:val="left" w:pos="1489" w:leader="none"/>
        </w:tabs>
        <w:bidi w:val="0"/>
        <w:ind w:hanging="283" w:start="1489"/>
        <w:jc w:val="start"/>
        <w:rPr/>
      </w:pPr>
      <w:r>
        <w:rPr/>
        <w:t>Define activation, retention and referral metrics.</w:t>
      </w:r>
    </w:p>
    <w:p>
      <w:pPr>
        <w:pStyle w:val="BodyText"/>
        <w:bidi w:val="0"/>
        <w:jc w:val="start"/>
        <w:rPr/>
      </w:pPr>
      <w:r>
        <w:rPr/>
        <w:t>The immediate objective is not only to increase registrations, but to convert users into active customers who publish music, attract listeners and continue using Music City.</w:t>
      </w:r>
    </w:p>
    <w:p>
      <w:pPr>
        <w:pStyle w:val="Heading2"/>
        <w:bidi w:val="0"/>
        <w:jc w:val="start"/>
        <w:rPr/>
      </w:pPr>
      <w:r>
        <w:rPr/>
        <w:t>8. Longer-Term Development</w:t>
      </w:r>
    </w:p>
    <w:p>
      <w:pPr>
        <w:pStyle w:val="BodyText"/>
        <w:bidi w:val="0"/>
        <w:jc w:val="start"/>
        <w:rPr/>
      </w:pPr>
      <w:r>
        <w:rPr/>
        <w:t>Over the following 12 months, Music City will grow its artist and label customer base, formalise the ambassador programme, launch label and university partnerships, develop Music City Academy content, expand listener activity and build measurable referral, retention and revenue systems.</w:t>
      </w:r>
    </w:p>
    <w:p>
      <w:pPr>
        <w:pStyle w:val="BodyText"/>
        <w:bidi w:val="0"/>
        <w:jc w:val="start"/>
        <w:rPr/>
      </w:pPr>
      <w:r>
        <w:rPr/>
        <w:t>Our long-term goal is to combine distribution, streaming, data, education and market access to help creators build sustainable careers.</w:t>
      </w:r>
    </w:p>
    <w:p>
      <w:pPr>
        <w:pStyle w:val="BodyTexttagline"/>
        <w:bidi w:val="0"/>
        <w:spacing w:before="420" w:after="283"/>
        <w:jc w:val="start"/>
        <w:rPr/>
      </w:pPr>
      <w:r>
        <w:rPr/>
        <w:t>Music City: Connecting music to the world.</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before="630" w:after="630"/>
      <w:ind w:start="780" w:end="780"/>
    </w:pPr>
    <w:rPr>
      <w:rFonts w:ascii="Arial;sans-serif" w:hAnsi="Arial;sans-serif" w:eastAsia="Arial;sans-serif" w:cs="Arial;sans-serif"/>
      <w:color w:val="172033"/>
      <w:sz w:val="24"/>
      <w:szCs w:val="24"/>
      <w:lang w:val="en-US" w:eastAsia="zh-CN" w:bidi="hi-IN"/>
    </w:rPr>
  </w:style>
  <w:style w:type="paragraph" w:styleId="Heading1">
    <w:name w:val="Heading 1"/>
    <w:basedOn w:val="Heading"/>
    <w:next w:val="BodyText"/>
    <w:qFormat/>
    <w:pPr>
      <w:spacing w:before="240" w:after="60"/>
    </w:pPr>
    <w:rPr>
      <w:rFonts w:ascii="Noto Sans" w:hAnsi="Noto Sans"/>
      <w:b/>
      <w:bCs/>
      <w:color w:val="102A43"/>
      <w:sz w:val="52"/>
      <w:szCs w:val="52"/>
    </w:rPr>
  </w:style>
  <w:style w:type="paragraph" w:styleId="Heading2">
    <w:name w:val="Heading 2"/>
    <w:basedOn w:val="Heading"/>
    <w:next w:val="BodyText"/>
    <w:qFormat/>
    <w:pPr>
      <w:pBdr>
        <w:bottom w:val="single" w:sz="2" w:space="3" w:color="B7D9DF"/>
      </w:pBdr>
      <w:spacing w:before="360" w:after="120"/>
      <w:outlineLvl w:val="1"/>
    </w:pPr>
    <w:rPr>
      <w:rFonts w:ascii="Liberation Serif" w:hAnsi="Liberation Serif" w:eastAsia="Noto Serif CJK SC" w:cs="Noto Sans Devanagari"/>
      <w:b/>
      <w:bCs/>
      <w:color w:val="0B7285"/>
      <w:sz w:val="32"/>
      <w:szCs w:val="32"/>
    </w:rPr>
  </w:style>
  <w:style w:type="paragraph" w:styleId="Heading3">
    <w:name w:val="Heading 3"/>
    <w:basedOn w:val="Heading"/>
    <w:next w:val="BodyText"/>
    <w:qFormat/>
    <w:pPr>
      <w:spacing w:before="270" w:after="120"/>
      <w:outlineLvl w:val="2"/>
    </w:pPr>
    <w:rPr>
      <w:rFonts w:ascii="Liberation Serif" w:hAnsi="Liberation Serif" w:eastAsia="Noto Serif CJK SC" w:cs="Noto Sans Devanagari"/>
      <w:b/>
      <w:bCs/>
      <w:color w:val="102A43"/>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5598" w:leader="none"/>
        <w:tab w:val="right" w:pos="10417" w:leader="none"/>
      </w:tabs>
    </w:pPr>
    <w:rPr/>
  </w:style>
  <w:style w:type="paragraph" w:styleId="Header">
    <w:name w:val="Header"/>
    <w:basedOn w:val="Normal"/>
    <w:pPr>
      <w:suppressLineNumbers/>
      <w:tabs>
        <w:tab w:val="clear" w:pos="1134"/>
        <w:tab w:val="center" w:pos="5598" w:leader="none"/>
        <w:tab w:val="right" w:pos="10417" w:leader="none"/>
      </w:tabs>
    </w:pPr>
    <w:rPr/>
  </w:style>
  <w:style w:type="paragraph" w:styleId="HeaderandFooter">
    <w:name w:val="Header and Footer"/>
    <w:basedOn w:val="Normal"/>
    <w:qFormat/>
    <w:pPr>
      <w:suppressLineNumbers/>
      <w:tabs>
        <w:tab w:val="clear" w:pos="1134"/>
        <w:tab w:val="center" w:pos="5599" w:leader="none"/>
        <w:tab w:val="right" w:pos="1041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ubtitle">
    <w:name w:val="Body Text.subtitle"/>
    <w:basedOn w:val="BodyText"/>
    <w:qFormat/>
    <w:pPr/>
    <w:rPr>
      <w:color w:val="52606D"/>
      <w:sz w:val="26"/>
      <w:szCs w:val="26"/>
    </w:rPr>
  </w:style>
  <w:style w:type="paragraph" w:styleId="TableHeading">
    <w:name w:val="Table Heading"/>
    <w:basedOn w:val="TableContents"/>
    <w:qFormat/>
    <w:pPr>
      <w:suppressLineNumbers/>
      <w:shd w:fill="0B7285" w:val="clear"/>
      <w:jc w:val="start"/>
    </w:pPr>
    <w:rPr>
      <w:b/>
      <w:bCs/>
      <w:color w:val="FFFFFF"/>
    </w:rPr>
  </w:style>
  <w:style w:type="paragraph" w:styleId="BodyTexttagline">
    <w:name w:val="Body Text.tagline"/>
    <w:basedOn w:val="BodyText"/>
    <w:qFormat/>
    <w:pPr>
      <w:spacing w:before="420" w:after="283"/>
    </w:pPr>
    <w:rPr>
      <w:b/>
      <w:bCs/>
      <w:color w:val="0B7285"/>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Music City Customer Development Plan</dc:title>
</cp:coreProperties>
</file>

<file path=docProps/custom.xml><?xml version="1.0" encoding="utf-8"?>
<Properties xmlns="http://schemas.openxmlformats.org/officeDocument/2006/custom-properties" xmlns:vt="http://schemas.openxmlformats.org/officeDocument/2006/docPropsVTypes"/>
</file>