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30"/>
        <w:jc w:val="start"/>
        <w:rPr/>
      </w:pPr>
      <w:r>
        <w:rPr/>
        <w:t>Music City</w:t>
      </w:r>
    </w:p>
    <w:p>
      <w:pPr>
        <w:pStyle w:val="BodyTextsubtitle"/>
        <w:bidi w:val="0"/>
        <w:jc w:val="start"/>
        <w:rPr/>
      </w:pPr>
      <w:r>
        <w:rPr/>
        <w:t>Instawards delivery summary, verification links, and screenshot attachments</w:t>
      </w:r>
    </w:p>
    <w:p>
      <w:pPr>
        <w:pStyle w:val="BodyText"/>
        <w:bidi w:val="0"/>
        <w:ind w:hanging="0" w:start="0" w:end="0"/>
        <w:jc w:val="start"/>
        <w:rPr/>
      </w:pPr>
      <w:r>
        <w:rPr>
          <w:b/>
          <w:caps/>
          <w:color w:val="555555"/>
          <w:sz w:val="17"/>
        </w:rPr>
        <w:t>Builder</w:t>
      </w:r>
      <w:r>
        <w:rPr/>
        <w:br/>
        <w:t>Enoch N. Chirima</w:t>
      </w:r>
    </w:p>
    <w:p>
      <w:pPr>
        <w:pStyle w:val="BodyText"/>
        <w:bidi w:val="0"/>
        <w:ind w:hanging="0" w:start="0" w:end="0"/>
        <w:jc w:val="start"/>
        <w:rPr/>
      </w:pPr>
      <w:r>
        <w:rPr>
          <w:b/>
          <w:caps/>
          <w:color w:val="555555"/>
          <w:sz w:val="17"/>
        </w:rPr>
        <w:t>Chapter</w:t>
      </w:r>
      <w:r>
        <w:rPr/>
        <w:br/>
        <w:t>Southern Africa</w:t>
      </w:r>
    </w:p>
    <w:p>
      <w:pPr>
        <w:pStyle w:val="BodyText"/>
        <w:bidi w:val="0"/>
        <w:ind w:hanging="0" w:start="0" w:end="0"/>
        <w:jc w:val="start"/>
        <w:rPr/>
      </w:pPr>
      <w:r>
        <w:rPr>
          <w:b/>
          <w:caps/>
          <w:color w:val="555555"/>
          <w:sz w:val="17"/>
        </w:rPr>
        <w:t>Project Repository</w:t>
      </w:r>
      <w:r>
        <w:rPr/>
        <w:br/>
      </w:r>
      <w:hyperlink r:id="rId2">
        <w:r>
          <w:rPr>
            <w:rStyle w:val="Hyperlink"/>
          </w:rPr>
          <w:t>github.com/music-city/music-city</w:t>
        </w:r>
      </w:hyperlink>
    </w:p>
    <w:p>
      <w:pPr>
        <w:pStyle w:val="BodyText"/>
        <w:bidi w:val="0"/>
        <w:ind w:hanging="0" w:start="0" w:end="0"/>
        <w:jc w:val="start"/>
        <w:rPr/>
      </w:pPr>
      <w:r>
        <w:rPr>
          <w:b/>
          <w:caps/>
          <w:color w:val="555555"/>
          <w:sz w:val="17"/>
        </w:rPr>
        <w:t>Environment</w:t>
      </w:r>
      <w:r>
        <w:rPr/>
        <w:br/>
        <w:t>Stellar Testnet</w:t>
      </w:r>
    </w:p>
    <w:p>
      <w:pPr>
        <w:pStyle w:val="Heading2"/>
        <w:bidi w:val="0"/>
        <w:jc w:val="start"/>
        <w:rPr/>
      </w:pPr>
      <w:r>
        <w:rPr/>
        <w:t>1. Delivered Items</w:t>
      </w:r>
    </w:p>
    <w:tbl>
      <w:tblPr>
        <w:tblW w:w="7427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6405"/>
        <w:gridCol w:w="1021"/>
      </w:tblGrid>
      <w:tr>
        <w:trPr>
          <w:tblHeader w:val="true"/>
        </w:trPr>
        <w:tc>
          <w:tcPr>
            <w:tcW w:w="6405" w:type="dxa"/>
            <w:tcBorders/>
            <w:vAlign w:val="center"/>
          </w:tcPr>
          <w:p>
            <w:pPr>
              <w:pStyle w:val="TableHeading"/>
              <w:suppressLineNumbers/>
              <w:shd w:val="clear" w:fill="F1F1F1"/>
              <w:bidi w:val="0"/>
              <w:jc w:val="start"/>
              <w:rPr/>
            </w:pPr>
            <w:r>
              <w:rPr/>
              <w:t>Delivered item</w:t>
            </w:r>
          </w:p>
        </w:tc>
        <w:tc>
          <w:tcPr>
            <w:tcW w:w="1021" w:type="dxa"/>
            <w:tcBorders/>
            <w:vAlign w:val="center"/>
          </w:tcPr>
          <w:p>
            <w:pPr>
              <w:pStyle w:val="TableHeading"/>
              <w:suppressLineNumbers/>
              <w:shd w:val="clear" w:fill="F1F1F1"/>
              <w:bidi w:val="0"/>
              <w:jc w:val="start"/>
              <w:rPr/>
            </w:pPr>
            <w:r>
              <w:rPr/>
              <w:t>Status</w:t>
            </w:r>
          </w:p>
        </w:tc>
      </w:tr>
      <w:tr>
        <w:trPr/>
        <w:tc>
          <w:tcPr>
            <w:tcW w:w="64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Stellar wallet connection and authentication</w:t>
            </w:r>
          </w:p>
        </w:tc>
        <w:tc>
          <w:tcPr>
            <w:tcW w:w="1021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b/>
                <w:color w:val="176B3A"/>
              </w:rPr>
            </w:pPr>
            <w:r>
              <w:rPr>
                <w:b/>
                <w:color w:val="176B3A"/>
              </w:rPr>
              <w:t>Delivered</w:t>
            </w:r>
          </w:p>
        </w:tc>
      </w:tr>
      <w:tr>
        <w:trPr/>
        <w:tc>
          <w:tcPr>
            <w:tcW w:w="64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Artist onboarding, artist profiles, and track management</w:t>
            </w:r>
          </w:p>
        </w:tc>
        <w:tc>
          <w:tcPr>
            <w:tcW w:w="1021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b/>
                <w:color w:val="176B3A"/>
              </w:rPr>
            </w:pPr>
            <w:r>
              <w:rPr>
                <w:b/>
                <w:color w:val="176B3A"/>
              </w:rPr>
              <w:t>Delivered</w:t>
            </w:r>
          </w:p>
        </w:tc>
      </w:tr>
      <w:tr>
        <w:trPr/>
        <w:tc>
          <w:tcPr>
            <w:tcW w:w="64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Music upload, media processing, and secure streaming playback</w:t>
            </w:r>
          </w:p>
        </w:tc>
        <w:tc>
          <w:tcPr>
            <w:tcW w:w="1021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b/>
                <w:color w:val="176B3A"/>
              </w:rPr>
            </w:pPr>
            <w:r>
              <w:rPr>
                <w:b/>
                <w:color w:val="176B3A"/>
              </w:rPr>
              <w:t>Delivered</w:t>
            </w:r>
          </w:p>
        </w:tc>
      </w:tr>
      <w:tr>
        <w:trPr/>
        <w:tc>
          <w:tcPr>
            <w:tcW w:w="64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Listener music catalog, subscription access, and streaming interface</w:t>
            </w:r>
          </w:p>
        </w:tc>
        <w:tc>
          <w:tcPr>
            <w:tcW w:w="1021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b/>
                <w:color w:val="176B3A"/>
              </w:rPr>
            </w:pPr>
            <w:r>
              <w:rPr>
                <w:b/>
                <w:color w:val="176B3A"/>
              </w:rPr>
              <w:t>Delivered</w:t>
            </w:r>
          </w:p>
        </w:tc>
      </w:tr>
      <w:tr>
        <w:trPr/>
        <w:tc>
          <w:tcPr>
            <w:tcW w:w="64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Subscription access control and qualified-stream tracking</w:t>
            </w:r>
          </w:p>
        </w:tc>
        <w:tc>
          <w:tcPr>
            <w:tcW w:w="1021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b/>
                <w:color w:val="176B3A"/>
              </w:rPr>
            </w:pPr>
            <w:r>
              <w:rPr>
                <w:b/>
                <w:color w:val="176B3A"/>
              </w:rPr>
              <w:t>Delivered</w:t>
            </w:r>
          </w:p>
        </w:tc>
      </w:tr>
      <w:tr>
        <w:trPr/>
        <w:tc>
          <w:tcPr>
            <w:tcW w:w="64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Royalty splits, royalty ledger, and admin payout controls</w:t>
            </w:r>
          </w:p>
        </w:tc>
        <w:tc>
          <w:tcPr>
            <w:tcW w:w="1021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b/>
                <w:color w:val="176B3A"/>
              </w:rPr>
            </w:pPr>
            <w:r>
              <w:rPr>
                <w:b/>
                <w:color w:val="176B3A"/>
              </w:rPr>
              <w:t>Delivered</w:t>
            </w:r>
          </w:p>
        </w:tc>
      </w:tr>
      <w:tr>
        <w:trPr/>
        <w:tc>
          <w:tcPr>
            <w:tcW w:w="64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Soroban royalty-split smart contract deployed to Stellar Testnet</w:t>
            </w:r>
          </w:p>
        </w:tc>
        <w:tc>
          <w:tcPr>
            <w:tcW w:w="1021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b/>
                <w:color w:val="176B3A"/>
              </w:rPr>
            </w:pPr>
            <w:r>
              <w:rPr>
                <w:b/>
                <w:color w:val="176B3A"/>
              </w:rPr>
              <w:t>Delivered</w:t>
            </w:r>
          </w:p>
        </w:tc>
      </w:tr>
      <w:tr>
        <w:trPr/>
        <w:tc>
          <w:tcPr>
            <w:tcW w:w="64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Music City publishing and on-chain verification of royalty splits</w:t>
            </w:r>
          </w:p>
        </w:tc>
        <w:tc>
          <w:tcPr>
            <w:tcW w:w="1021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b/>
                <w:color w:val="176B3A"/>
              </w:rPr>
            </w:pPr>
            <w:r>
              <w:rPr>
                <w:b/>
                <w:color w:val="176B3A"/>
              </w:rPr>
              <w:t>Delivered</w:t>
            </w:r>
          </w:p>
        </w:tc>
      </w:tr>
      <w:tr>
        <w:trPr/>
        <w:tc>
          <w:tcPr>
            <w:tcW w:w="64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Application and smart-contract test suites</w:t>
            </w:r>
          </w:p>
        </w:tc>
        <w:tc>
          <w:tcPr>
            <w:tcW w:w="1021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b/>
                <w:color w:val="176B3A"/>
              </w:rPr>
            </w:pPr>
            <w:r>
              <w:rPr>
                <w:b/>
                <w:color w:val="176B3A"/>
              </w:rPr>
              <w:t>Delivered</w:t>
            </w:r>
          </w:p>
        </w:tc>
      </w:tr>
    </w:tbl>
    <w:p>
      <w:pPr>
        <w:pStyle w:val="Heading2"/>
        <w:bidi w:val="0"/>
        <w:jc w:val="start"/>
        <w:rPr/>
      </w:pPr>
      <w:r>
        <w:rPr/>
        <w:t>2. Verification Links</w:t>
      </w:r>
    </w:p>
    <w:p>
      <w:pPr>
        <w:pStyle w:val="BodyText"/>
        <w:bidi w:val="0"/>
        <w:jc w:val="start"/>
        <w:rPr/>
      </w:pPr>
      <w:r>
        <w:rPr/>
        <w:t>Technical proof for reviewers who wish to verify the Stellar Testnet deployment and an on-chain royalty-split publication.</w:t>
      </w:r>
    </w:p>
    <w:tbl>
      <w:tblPr>
        <w:tblW w:w="997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231"/>
        <w:gridCol w:w="6211"/>
        <w:gridCol w:w="1536"/>
      </w:tblGrid>
      <w:tr>
        <w:trPr>
          <w:tblHeader w:val="true"/>
        </w:trPr>
        <w:tc>
          <w:tcPr>
            <w:tcW w:w="2231" w:type="dxa"/>
            <w:tcBorders/>
            <w:vAlign w:val="center"/>
          </w:tcPr>
          <w:p>
            <w:pPr>
              <w:pStyle w:val="TableHeading"/>
              <w:suppressLineNumbers/>
              <w:shd w:val="clear" w:fill="F1F1F1"/>
              <w:bidi w:val="0"/>
              <w:jc w:val="start"/>
              <w:rPr/>
            </w:pPr>
            <w:r>
              <w:rPr/>
              <w:t>Verification item</w:t>
            </w:r>
          </w:p>
        </w:tc>
        <w:tc>
          <w:tcPr>
            <w:tcW w:w="6211" w:type="dxa"/>
            <w:tcBorders/>
            <w:vAlign w:val="center"/>
          </w:tcPr>
          <w:p>
            <w:pPr>
              <w:pStyle w:val="TableHeading"/>
              <w:suppressLineNumbers/>
              <w:shd w:val="clear" w:fill="F1F1F1"/>
              <w:bidi w:val="0"/>
              <w:jc w:val="start"/>
              <w:rPr/>
            </w:pPr>
            <w:r>
              <w:rPr/>
              <w:t>Address / transaction hash</w:t>
            </w:r>
          </w:p>
        </w:tc>
        <w:tc>
          <w:tcPr>
            <w:tcW w:w="1536" w:type="dxa"/>
            <w:tcBorders/>
            <w:vAlign w:val="center"/>
          </w:tcPr>
          <w:p>
            <w:pPr>
              <w:pStyle w:val="TableHeading"/>
              <w:suppressLineNumbers/>
              <w:shd w:val="clear" w:fill="F1F1F1"/>
              <w:bidi w:val="0"/>
              <w:jc w:val="start"/>
              <w:rPr/>
            </w:pPr>
            <w:r>
              <w:rPr/>
              <w:t>Link</w:t>
            </w:r>
          </w:p>
        </w:tc>
      </w:tr>
      <w:tr>
        <w:trPr/>
        <w:tc>
          <w:tcPr>
            <w:tcW w:w="22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Source repository</w:t>
            </w:r>
          </w:p>
        </w:tc>
        <w:tc>
          <w:tcPr>
            <w:tcW w:w="62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Music City source code</w:t>
            </w:r>
          </w:p>
        </w:tc>
        <w:tc>
          <w:tcPr>
            <w:tcW w:w="15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hyperlink r:id="rId3">
              <w:r>
                <w:rPr>
                  <w:rStyle w:val="Hyperlink"/>
                </w:rPr>
                <w:t>Open repository</w:t>
              </w:r>
            </w:hyperlink>
          </w:p>
        </w:tc>
      </w:tr>
      <w:tr>
        <w:trPr/>
        <w:tc>
          <w:tcPr>
            <w:tcW w:w="22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Live Music City application</w:t>
            </w:r>
          </w:p>
        </w:tc>
        <w:tc>
          <w:tcPr>
            <w:tcW w:w="62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https://music-city.vercel.app/</w:t>
            </w:r>
          </w:p>
        </w:tc>
        <w:tc>
          <w:tcPr>
            <w:tcW w:w="15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hyperlink r:id="rId4">
              <w:r>
                <w:rPr>
                  <w:rStyle w:val="Hyperlink"/>
                </w:rPr>
                <w:t>Open live application</w:t>
              </w:r>
            </w:hyperlink>
          </w:p>
        </w:tc>
      </w:tr>
      <w:tr>
        <w:trPr/>
        <w:tc>
          <w:tcPr>
            <w:tcW w:w="2231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>
                <w:rStyle w:val="Strong"/>
              </w:rPr>
              <w:t>Deployed Soroban contract</w:t>
            </w:r>
          </w:p>
        </w:tc>
        <w:tc>
          <w:tcPr>
            <w:tcW w:w="6211" w:type="dxa"/>
            <w:tcBorders/>
            <w:vAlign w:val="center"/>
          </w:tcPr>
          <w:p>
            <w:pPr>
              <w:pStyle w:val="TableContents"/>
              <w:bidi w:val="0"/>
              <w:spacing w:lineRule="auto" w:line="300"/>
              <w:jc w:val="start"/>
              <w:rPr>
                <w:rFonts w:ascii="SFMono-Regular;Consolas;monospace" w:hAnsi="SFMono-Regular;Consolas;monospace"/>
                <w:b w:val="false"/>
                <w:i w:val="false"/>
                <w:i w:val="false"/>
                <w:caps w:val="false"/>
                <w:smallCaps w:val="false"/>
                <w:sz w:val="16"/>
              </w:rPr>
            </w:pPr>
            <w:r>
              <w:rPr>
                <w:rFonts w:ascii="SFMono-Regular;Consolas;monospace" w:hAnsi="SFMono-Regular;Consolas;monospace"/>
                <w:b w:val="false"/>
                <w:i w:val="false"/>
                <w:caps w:val="false"/>
                <w:smallCaps w:val="false"/>
                <w:sz w:val="16"/>
              </w:rPr>
              <w:t>CD2ONBXRTTPKFHNOI2BV3UYUZOOC75R5LPUPCLSRDZHUWM5OAQVACNF3</w:t>
            </w:r>
          </w:p>
        </w:tc>
        <w:tc>
          <w:tcPr>
            <w:tcW w:w="15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hyperlink r:id="rId5">
              <w:r>
                <w:rPr>
                  <w:rStyle w:val="Hyperlink"/>
                </w:rPr>
                <w:t>Open contract</w:t>
              </w:r>
            </w:hyperlink>
          </w:p>
        </w:tc>
      </w:tr>
      <w:tr>
        <w:trPr/>
        <w:tc>
          <w:tcPr>
            <w:tcW w:w="2231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>
                <w:rStyle w:val="Strong"/>
              </w:rPr>
              <w:t>Music City treasury address</w:t>
            </w:r>
          </w:p>
        </w:tc>
        <w:tc>
          <w:tcPr>
            <w:tcW w:w="6211" w:type="dxa"/>
            <w:tcBorders/>
            <w:vAlign w:val="center"/>
          </w:tcPr>
          <w:p>
            <w:pPr>
              <w:pStyle w:val="TableContents"/>
              <w:bidi w:val="0"/>
              <w:spacing w:lineRule="auto" w:line="300"/>
              <w:jc w:val="start"/>
              <w:rPr>
                <w:rFonts w:ascii="SFMono-Regular;Consolas;monospace" w:hAnsi="SFMono-Regular;Consolas;monospace"/>
                <w:b w:val="false"/>
                <w:i w:val="false"/>
                <w:i w:val="false"/>
                <w:caps w:val="false"/>
                <w:smallCaps w:val="false"/>
                <w:sz w:val="16"/>
              </w:rPr>
            </w:pPr>
            <w:r>
              <w:rPr>
                <w:rFonts w:ascii="SFMono-Regular;Consolas;monospace" w:hAnsi="SFMono-Regular;Consolas;monospace"/>
                <w:b w:val="false"/>
                <w:i w:val="false"/>
                <w:caps w:val="false"/>
                <w:smallCaps w:val="false"/>
                <w:sz w:val="16"/>
              </w:rPr>
              <w:t>GCW3HD5EBMVNBGOWCPTP3WNYXXT5OYB2UIMKDNSL3IZRGLVMU4OEKFWO</w:t>
            </w:r>
          </w:p>
        </w:tc>
        <w:tc>
          <w:tcPr>
            <w:tcW w:w="15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hyperlink r:id="rId6">
              <w:r>
                <w:rPr>
                  <w:rStyle w:val="Hyperlink"/>
                </w:rPr>
                <w:t>Open account</w:t>
              </w:r>
            </w:hyperlink>
          </w:p>
        </w:tc>
      </w:tr>
      <w:tr>
        <w:trPr/>
        <w:tc>
          <w:tcPr>
            <w:tcW w:w="2231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>
                <w:rStyle w:val="Strong"/>
              </w:rPr>
              <w:t>Contract deployment transaction</w:t>
            </w:r>
          </w:p>
        </w:tc>
        <w:tc>
          <w:tcPr>
            <w:tcW w:w="6211" w:type="dxa"/>
            <w:tcBorders/>
            <w:vAlign w:val="center"/>
          </w:tcPr>
          <w:p>
            <w:pPr>
              <w:pStyle w:val="TableContents"/>
              <w:bidi w:val="0"/>
              <w:spacing w:lineRule="auto" w:line="300"/>
              <w:jc w:val="start"/>
              <w:rPr>
                <w:rFonts w:ascii="SFMono-Regular;Consolas;monospace" w:hAnsi="SFMono-Regular;Consolas;monospace"/>
                <w:b w:val="false"/>
                <w:i w:val="false"/>
                <w:i w:val="false"/>
                <w:caps w:val="false"/>
                <w:smallCaps w:val="false"/>
                <w:sz w:val="16"/>
              </w:rPr>
            </w:pPr>
            <w:r>
              <w:rPr>
                <w:rFonts w:ascii="SFMono-Regular;Consolas;monospace" w:hAnsi="SFMono-Regular;Consolas;monospace"/>
                <w:b w:val="false"/>
                <w:i w:val="false"/>
                <w:caps w:val="false"/>
                <w:smallCaps w:val="false"/>
                <w:sz w:val="16"/>
              </w:rPr>
              <w:t>c313274db1575c8c018dd2646e4e388e9a2794b0d21f738fbe55fc7e500b75d6</w:t>
            </w:r>
          </w:p>
        </w:tc>
        <w:tc>
          <w:tcPr>
            <w:tcW w:w="15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hyperlink r:id="rId7">
              <w:r>
                <w:rPr>
                  <w:rStyle w:val="Hyperlink"/>
                </w:rPr>
                <w:t>Open transaction</w:t>
              </w:r>
            </w:hyperlink>
          </w:p>
        </w:tc>
      </w:tr>
    </w:tbl>
    <w:p>
      <w:pPr>
        <w:pStyle w:val="BodyText"/>
        <w:bidi w:val="0"/>
        <w:spacing w:before="0" w:after="75"/>
        <w:jc w:val="start"/>
        <w:rPr/>
      </w:pPr>
      <w:r>
        <w:rPr/>
        <w:br/>
        <w:t>Screenshot Evidence</w:t>
        <w:br/>
        <w:t>Music City live application: https://music-city.vercel.app/</w:t>
        <w:br/>
        <w:br/>
      </w:r>
      <w:r>
        <w:rPr/>
        <w:drawing>
          <wp:inline distT="0" distB="0" distL="0" distR="0">
            <wp:extent cx="5400040" cy="4018915"/>
            <wp:effectExtent l="0" t="0" r="0" b="0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01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br/>
        <w:t>Screenshot 1 — Music City landing page</w:t>
        <w:br/>
        <w:br/>
      </w:r>
      <w:r>
        <w:rPr/>
        <w:drawing>
          <wp:inline distT="0" distB="0" distL="0" distR="0">
            <wp:extent cx="5400040" cy="636270"/>
            <wp:effectExtent l="0" t="0" r="0" b="0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63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br/>
        <w:t>Screenshot 2 — Music playback controls</w:t>
        <w:br/>
        <w:br/>
      </w:r>
      <w:r>
        <w:rPr/>
        <w:drawing>
          <wp:inline distT="0" distB="0" distL="0" distR="0">
            <wp:extent cx="5400040" cy="4018915"/>
            <wp:effectExtent l="0" t="0" r="0" b="0"/>
            <wp:docPr id="3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01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br/>
        <w:t>Screenshot 3 — User login and account access</w:t>
        <w:br/>
        <w:br/>
      </w:r>
      <w:r>
        <w:rPr/>
        <w:drawing>
          <wp:inline distT="0" distB="0" distL="0" distR="0">
            <wp:extent cx="5400040" cy="4438015"/>
            <wp:effectExtent l="0" t="0" r="0" b="0"/>
            <wp:docPr id="4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43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br/>
        <w:t>Screenshot 4 — Artist studio dashboard</w:t>
        <w:br/>
        <w:br/>
      </w:r>
      <w:r>
        <w:rPr/>
        <w:drawing>
          <wp:inline distT="0" distB="0" distL="0" distR="0">
            <wp:extent cx="5400040" cy="4074160"/>
            <wp:effectExtent l="0" t="0" r="0" b="0"/>
            <wp:docPr id="5" name="Image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 titl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07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br/>
        <w:t>Screenshot 5 — Artist account and Stellar wallet</w:t>
        <w:br/>
        <w:br/>
      </w:r>
      <w:r>
        <w:rPr/>
        <w:drawing>
          <wp:inline distT="0" distB="0" distL="0" distR="0">
            <wp:extent cx="5400040" cy="4074160"/>
            <wp:effectExtent l="0" t="0" r="0" b="0"/>
            <wp:docPr id="6" name="Image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 titl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07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br/>
        <w:t>Screenshot 6 — Music discovery and track catalog</w:t>
        <w:br/>
        <w:br/>
      </w:r>
      <w:r>
        <w:rPr/>
        <w:drawing>
          <wp:inline distT="0" distB="0" distL="0" distR="0">
            <wp:extent cx="5400040" cy="3770630"/>
            <wp:effectExtent l="0" t="0" r="0" b="0"/>
            <wp:docPr id="7" name="Image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 titl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77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br/>
        <w:t>Screenshot 7 — Artist analytics and stream health</w:t>
        <w:br/>
        <w:br/>
      </w:r>
    </w:p>
    <w:sectPr>
      <w:type w:val="nextPage"/>
      <w:pgSz w:w="11906" w:h="16838"/>
      <w:pgMar w:left="964" w:right="964" w:gutter="0" w:header="0" w:top="737" w:footer="0" w:bottom="737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altName w:val="Helvetica"/>
    <w:charset w:val="01" w:characterSet="utf-8"/>
    <w:family w:val="roman"/>
    <w:pitch w:val="variable"/>
  </w:font>
  <w:font w:name="Liberation Serif">
    <w:altName w:val="Times New Roman"/>
    <w:charset w:val="01" w:characterSet="utf-8"/>
    <w:family w:val="swiss"/>
    <w:pitch w:val="variable"/>
  </w:font>
  <w:font w:name="Liberation Sans">
    <w:altName w:val="Arial"/>
    <w:charset w:val="01" w:characterSet="utf-8"/>
    <w:family w:val="roman"/>
    <w:pitch w:val="variable"/>
  </w:font>
  <w:font w:name="SFMono-Regular">
    <w:altName w:val="Consolas"/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lineRule="auto" w:line="312" w:before="0" w:after="0"/>
      <w:jc w:val="start"/>
    </w:pPr>
    <w:rPr>
      <w:rFonts w:ascii="Arial;Helvetica;sans-serif" w:hAnsi="Arial;Helvetica;sans-serif" w:eastAsia="Arial;Helvetica;sans-serif" w:cs="Arial;Helvetica;sans-serif"/>
      <w:b w:val="false"/>
      <w:bCs w:val="false"/>
      <w:i w:val="false"/>
      <w:iCs w:val="false"/>
      <w:caps w:val="false"/>
      <w:smallCaps w:val="false"/>
      <w:color w:val="171717"/>
      <w:kern w:val="0"/>
      <w:sz w:val="19"/>
      <w:szCs w:val="19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30"/>
      <w:outlineLvl w:val="0"/>
    </w:pPr>
    <w:rPr>
      <w:rFonts w:ascii="Liberation Serif" w:hAnsi="Liberation Serif" w:eastAsia="Noto Serif CJK SC" w:cs="Noto Sans Devanagari"/>
      <w:b/>
      <w:bCs/>
      <w:spacing w:val="0"/>
      <w:sz w:val="44"/>
      <w:szCs w:val="44"/>
    </w:rPr>
  </w:style>
  <w:style w:type="paragraph" w:styleId="Heading2">
    <w:name w:val="Heading 2"/>
    <w:basedOn w:val="Heading"/>
    <w:next w:val="BodyText"/>
    <w:qFormat/>
    <w:pPr>
      <w:pBdr>
        <w:bottom w:val="single" w:sz="6" w:space="3" w:color="222222"/>
      </w:pBdr>
      <w:spacing w:before="210" w:after="90"/>
      <w:ind w:start="210" w:end="210"/>
      <w:outlineLvl w:val="1"/>
    </w:pPr>
    <w:rPr>
      <w:rFonts w:ascii="Liberation Serif" w:hAnsi="Liberation Serif" w:eastAsia="Noto Serif CJK SC" w:cs="Noto Sans Devanagari"/>
      <w:b/>
      <w:bCs/>
      <w:sz w:val="26"/>
      <w:szCs w:val="26"/>
    </w:rPr>
  </w:style>
  <w:style w:type="character" w:styleId="Hyperlink">
    <w:name w:val="Hyperlink"/>
    <w:rPr>
      <w:color w:val="0645AD"/>
      <w:u w:val="single"/>
    </w:rPr>
  </w:style>
  <w:style w:type="character" w:styleId="FollowedHyperlink">
    <w:name w:val="FollowedHyperlink"/>
    <w:rPr>
      <w:color w:val="0645AD"/>
      <w:u w:val="single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75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odyTextsubtitle">
    <w:name w:val="Body Text.subtitle"/>
    <w:basedOn w:val="BodyText"/>
    <w:qFormat/>
    <w:pPr/>
    <w:rPr>
      <w:color w:val="555555"/>
      <w:sz w:val="21"/>
      <w:szCs w:val="21"/>
    </w:rPr>
  </w:style>
  <w:style w:type="paragraph" w:styleId="TableContents">
    <w:name w:val="Table Contents"/>
    <w:basedOn w:val="Normal"/>
    <w:qFormat/>
    <w:pPr>
      <w:widowControl w:val="false"/>
      <w:suppressLineNumbers/>
      <w:jc w:val="start"/>
    </w:pPr>
    <w:rPr/>
  </w:style>
  <w:style w:type="paragraph" w:styleId="TableHeading">
    <w:name w:val="Table Heading"/>
    <w:basedOn w:val="TableContents"/>
    <w:qFormat/>
    <w:pPr>
      <w:suppressLineNumbers/>
      <w:shd w:val="clear" w:fill="F1F1F1"/>
      <w:jc w:val="start"/>
    </w:pPr>
    <w:rPr>
      <w:b/>
      <w:bCs/>
      <w:sz w:val="18"/>
      <w:szCs w:val="1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music-city/music-city" TargetMode="External"/><Relationship Id="rId3" Type="http://schemas.openxmlformats.org/officeDocument/2006/relationships/hyperlink" Target="https://github.com/music-city/music-city" TargetMode="External"/><Relationship Id="rId4" Type="http://schemas.openxmlformats.org/officeDocument/2006/relationships/hyperlink" Target="https://music-city.vercel.app/" TargetMode="External"/><Relationship Id="rId5" Type="http://schemas.openxmlformats.org/officeDocument/2006/relationships/hyperlink" Target="https://stellar.expert/explorer/testnet/contract/CD2ONBXRTTPKFHNOI2BV3UYUZOOC75R5LPUPCLSRDZHUWM5OAQVACNF3" TargetMode="External"/><Relationship Id="rId6" Type="http://schemas.openxmlformats.org/officeDocument/2006/relationships/hyperlink" Target="https://stellar.expert/explorer/testnet/account/GCW3HD5EBMVNBGOWCPTP3WNYXXT5OYB2UIMKDNSL3IZRGLVMU4OEKFWO" TargetMode="External"/><Relationship Id="rId7" Type="http://schemas.openxmlformats.org/officeDocument/2006/relationships/hyperlink" Target="https://stellar.expert/explorer/testnet/tx/c313274db1575c8c018dd2646e4e388e9a2794b0d21f738fbe55fc7e500b75d6" TargetMode="External"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fontTable" Target="fontTable.xml"/><Relationship Id="rId16" Type="http://schemas.openxmlformats.org/officeDocument/2006/relationships/settings" Target="settings.xml"/><Relationship Id="rId1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2026-07-21T13:31:16Z</dcterms:modified>
  <cp:revision>1</cp:revision>
  <dc:subject/>
  <dc:title>Music City — Instawards Proof Pack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