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75"/>
        <w:ind w:hanging="0" w:start="0" w:end="0"/>
        <w:jc w:val="start"/>
        <w:rPr>
          <w:b/>
          <w:caps/>
          <w:color w:val="555555"/>
          <w:spacing w:val="15"/>
          <w:sz w:val="16"/>
        </w:rPr>
      </w:pPr>
      <w:r>
        <w:rPr>
          <w:b/>
          <w:caps/>
          <w:color w:val="555555"/>
          <w:spacing w:val="15"/>
          <w:sz w:val="16"/>
        </w:rPr>
        <w:t>Instawards — Evidence and Proof Pack</w:t>
      </w:r>
    </w:p>
    <w:p>
      <w:pPr>
        <w:pStyle w:val="Heading1"/>
        <w:bidi w:val="0"/>
        <w:jc w:val="start"/>
        <w:rPr/>
      </w:pPr>
      <w:r>
        <w:rPr/>
        <w:t>Music City</w:t>
      </w:r>
    </w:p>
    <w:p>
      <w:pPr>
        <w:pStyle w:val="BodyTextsubtitle"/>
        <w:bidi w:val="0"/>
        <w:jc w:val="start"/>
        <w:rPr/>
      </w:pPr>
      <w:r>
        <w:rPr/>
        <w:t>Instawards delivery summary, verification links, and screenshot attachments</w:t>
      </w:r>
    </w:p>
    <w:p>
      <w:pPr>
        <w:pStyle w:val="BodyText"/>
        <w:bidi w:val="0"/>
        <w:ind w:hanging="0" w:start="0" w:end="0"/>
        <w:jc w:val="start"/>
        <w:rPr/>
      </w:pPr>
      <w:r>
        <w:rPr>
          <w:b/>
          <w:caps/>
          <w:color w:val="555555"/>
          <w:sz w:val="17"/>
        </w:rPr>
        <w:t>Builder</w:t>
      </w:r>
      <w:r>
        <w:rPr/>
        <w:br/>
        <w:t>Enoch N. Chirima</w:t>
      </w:r>
    </w:p>
    <w:p>
      <w:pPr>
        <w:pStyle w:val="BodyText"/>
        <w:bidi w:val="0"/>
        <w:ind w:hanging="0" w:start="0" w:end="0"/>
        <w:jc w:val="start"/>
        <w:rPr/>
      </w:pPr>
      <w:r>
        <w:rPr>
          <w:b/>
          <w:caps/>
          <w:color w:val="555555"/>
          <w:sz w:val="17"/>
        </w:rPr>
        <w:t>Chapter</w:t>
      </w:r>
      <w:r>
        <w:rPr/>
        <w:br/>
        <w:t>Southern Africa</w:t>
      </w:r>
    </w:p>
    <w:p>
      <w:pPr>
        <w:pStyle w:val="BodyText"/>
        <w:bidi w:val="0"/>
        <w:ind w:hanging="0" w:start="0" w:end="0"/>
        <w:jc w:val="start"/>
        <w:rPr/>
      </w:pPr>
      <w:r>
        <w:rPr>
          <w:b/>
          <w:caps/>
          <w:color w:val="555555"/>
          <w:sz w:val="17"/>
        </w:rPr>
        <w:t>Project Repository</w:t>
      </w:r>
      <w:r>
        <w:rPr/>
        <w:br/>
      </w:r>
      <w:hyperlink r:id="rId2">
        <w:r>
          <w:rPr>
            <w:rStyle w:val="Hyperlink"/>
          </w:rPr>
          <w:t>github.com/music-city/music-city</w:t>
        </w:r>
      </w:hyperlink>
    </w:p>
    <w:p>
      <w:pPr>
        <w:pStyle w:val="BodyText"/>
        <w:bidi w:val="0"/>
        <w:ind w:hanging="0" w:start="0" w:end="0"/>
        <w:jc w:val="start"/>
        <w:rPr/>
      </w:pPr>
      <w:r>
        <w:rPr>
          <w:b/>
          <w:caps/>
          <w:color w:val="555555"/>
          <w:sz w:val="17"/>
        </w:rPr>
        <w:t>Environment</w:t>
      </w:r>
      <w:r>
        <w:rPr/>
        <w:br/>
        <w:t>Stellar Testnet</w:t>
      </w:r>
    </w:p>
    <w:p>
      <w:pPr>
        <w:pStyle w:val="Heading2"/>
        <w:bidi w:val="0"/>
        <w:jc w:val="start"/>
        <w:rPr/>
      </w:pPr>
      <w:r>
        <w:rPr/>
        <w:t>1. Delivered Items</w:t>
      </w:r>
    </w:p>
    <w:tbl>
      <w:tblPr>
        <w:tblW w:w="742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06"/>
        <w:gridCol w:w="1021"/>
      </w:tblGrid>
      <w:tr>
        <w:trPr>
          <w:tblHeader w:val="true"/>
        </w:trPr>
        <w:tc>
          <w:tcPr>
            <w:tcW w:w="6406" w:type="dxa"/>
            <w:tcBorders/>
            <w:vAlign w:val="center"/>
          </w:tcPr>
          <w:p>
            <w:pPr>
              <w:pStyle w:val="TableHeading"/>
              <w:suppressLineNumbers/>
              <w:shd w:fill="F1F1F1" w:val="clear"/>
              <w:bidi w:val="0"/>
              <w:spacing w:before="0" w:after="75"/>
              <w:jc w:val="start"/>
              <w:rPr/>
            </w:pPr>
            <w:r>
              <w:rPr/>
              <w:t>Delivered item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Heading"/>
              <w:suppressLineNumbers/>
              <w:shd w:fill="F1F1F1" w:val="clear"/>
              <w:bidi w:val="0"/>
              <w:spacing w:before="0" w:after="75"/>
              <w:jc w:val="start"/>
              <w:rPr/>
            </w:pPr>
            <w:r>
              <w:rPr/>
              <w:t>Status</w:t>
            </w:r>
          </w:p>
        </w:tc>
      </w:tr>
      <w:tr>
        <w:trPr/>
        <w:tc>
          <w:tcPr>
            <w:tcW w:w="6406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jc w:val="start"/>
              <w:rPr/>
            </w:pPr>
            <w:r>
              <w:rPr>
                <w:rStyle w:val="Strong"/>
              </w:rPr>
              <w:t>Stellar wallet connection and authentication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ind w:hanging="0" w:start="0" w:end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Delivered</w:t>
            </w:r>
          </w:p>
        </w:tc>
      </w:tr>
      <w:tr>
        <w:trPr/>
        <w:tc>
          <w:tcPr>
            <w:tcW w:w="6406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jc w:val="start"/>
              <w:rPr/>
            </w:pPr>
            <w:r>
              <w:rPr>
                <w:rStyle w:val="Strong"/>
              </w:rPr>
              <w:t>Artist onboarding, artist profiles, and track management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ind w:hanging="0" w:start="0" w:end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Delivered</w:t>
            </w:r>
          </w:p>
        </w:tc>
      </w:tr>
      <w:tr>
        <w:trPr/>
        <w:tc>
          <w:tcPr>
            <w:tcW w:w="6406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jc w:val="start"/>
              <w:rPr/>
            </w:pPr>
            <w:r>
              <w:rPr>
                <w:rStyle w:val="Strong"/>
              </w:rPr>
              <w:t>Music upload, media processing, and secure streaming playback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ind w:hanging="0" w:start="0" w:end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Delivered</w:t>
            </w:r>
          </w:p>
        </w:tc>
      </w:tr>
      <w:tr>
        <w:trPr/>
        <w:tc>
          <w:tcPr>
            <w:tcW w:w="6406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jc w:val="start"/>
              <w:rPr/>
            </w:pPr>
            <w:r>
              <w:rPr>
                <w:rStyle w:val="Strong"/>
              </w:rPr>
              <w:t>Listener music catalog, subscription access, and streaming interface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ind w:hanging="0" w:start="0" w:end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Delivered</w:t>
            </w:r>
          </w:p>
        </w:tc>
      </w:tr>
      <w:tr>
        <w:trPr/>
        <w:tc>
          <w:tcPr>
            <w:tcW w:w="6406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jc w:val="start"/>
              <w:rPr/>
            </w:pPr>
            <w:r>
              <w:rPr>
                <w:rStyle w:val="Strong"/>
              </w:rPr>
              <w:t>Subscription access control and qualified-stream tracking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ind w:hanging="0" w:start="0" w:end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Delivered</w:t>
            </w:r>
          </w:p>
        </w:tc>
      </w:tr>
      <w:tr>
        <w:trPr/>
        <w:tc>
          <w:tcPr>
            <w:tcW w:w="6406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jc w:val="start"/>
              <w:rPr/>
            </w:pPr>
            <w:r>
              <w:rPr>
                <w:rStyle w:val="Strong"/>
              </w:rPr>
              <w:t>Royalty splits, royalty ledger, and admin payout controls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ind w:hanging="0" w:start="0" w:end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Delivered</w:t>
            </w:r>
          </w:p>
        </w:tc>
      </w:tr>
      <w:tr>
        <w:trPr/>
        <w:tc>
          <w:tcPr>
            <w:tcW w:w="6406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jc w:val="start"/>
              <w:rPr/>
            </w:pPr>
            <w:r>
              <w:rPr>
                <w:rStyle w:val="Strong"/>
              </w:rPr>
              <w:t>Soroban royalty-split smart contract deployed to Stellar Testnet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ind w:hanging="0" w:start="0" w:end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Delivered</w:t>
            </w:r>
          </w:p>
        </w:tc>
      </w:tr>
      <w:tr>
        <w:trPr/>
        <w:tc>
          <w:tcPr>
            <w:tcW w:w="6406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jc w:val="start"/>
              <w:rPr/>
            </w:pPr>
            <w:r>
              <w:rPr>
                <w:rStyle w:val="Strong"/>
              </w:rPr>
              <w:t>Music City publishing and on-chain verification of royalty splits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ind w:hanging="0" w:start="0" w:end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Delivered</w:t>
            </w:r>
          </w:p>
        </w:tc>
      </w:tr>
      <w:tr>
        <w:trPr/>
        <w:tc>
          <w:tcPr>
            <w:tcW w:w="6406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jc w:val="start"/>
              <w:rPr/>
            </w:pPr>
            <w:r>
              <w:rPr>
                <w:rStyle w:val="Strong"/>
              </w:rPr>
              <w:t>Application and smart-contract test suites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ind w:hanging="0" w:start="0" w:end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Delivered</w:t>
            </w:r>
          </w:p>
        </w:tc>
      </w:tr>
    </w:tbl>
    <w:p>
      <w:pPr>
        <w:pStyle w:val="Heading2"/>
        <w:bidi w:val="0"/>
        <w:jc w:val="start"/>
        <w:rPr/>
      </w:pPr>
      <w:r>
        <w:rPr/>
        <w:t>2. Verification Links</w:t>
      </w:r>
    </w:p>
    <w:p>
      <w:pPr>
        <w:pStyle w:val="BodyText"/>
        <w:bidi w:val="0"/>
        <w:jc w:val="start"/>
        <w:rPr/>
      </w:pPr>
      <w:r>
        <w:rPr/>
        <w:t>Technical proof for reviewers who wish to verify the Stellar Testnet deployment and an on-chain royalty-split publication.</w:t>
      </w:r>
    </w:p>
    <w:tbl>
      <w:tblPr>
        <w:tblW w:w="112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36"/>
        <w:gridCol w:w="6211"/>
        <w:gridCol w:w="1921"/>
      </w:tblGrid>
      <w:tr>
        <w:trPr>
          <w:tblHeader w:val="true"/>
        </w:trPr>
        <w:tc>
          <w:tcPr>
            <w:tcW w:w="3136" w:type="dxa"/>
            <w:tcBorders/>
            <w:vAlign w:val="center"/>
          </w:tcPr>
          <w:p>
            <w:pPr>
              <w:pStyle w:val="TableHeading"/>
              <w:suppressLineNumbers/>
              <w:shd w:fill="F1F1F1" w:val="clear"/>
              <w:bidi w:val="0"/>
              <w:spacing w:before="0" w:after="75"/>
              <w:jc w:val="start"/>
              <w:rPr/>
            </w:pPr>
            <w:r>
              <w:rPr/>
              <w:t>Verification item</w:t>
            </w:r>
          </w:p>
        </w:tc>
        <w:tc>
          <w:tcPr>
            <w:tcW w:w="6211" w:type="dxa"/>
            <w:tcBorders/>
            <w:vAlign w:val="center"/>
          </w:tcPr>
          <w:p>
            <w:pPr>
              <w:pStyle w:val="TableHeading"/>
              <w:suppressLineNumbers/>
              <w:shd w:fill="F1F1F1" w:val="clear"/>
              <w:bidi w:val="0"/>
              <w:spacing w:before="0" w:after="75"/>
              <w:jc w:val="start"/>
              <w:rPr/>
            </w:pPr>
            <w:r>
              <w:rPr/>
              <w:t>Address / transaction hash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Heading"/>
              <w:suppressLineNumbers/>
              <w:shd w:fill="F1F1F1" w:val="clear"/>
              <w:bidi w:val="0"/>
              <w:spacing w:before="0" w:after="75"/>
              <w:jc w:val="start"/>
              <w:rPr/>
            </w:pPr>
            <w:r>
              <w:rPr/>
              <w:t>Link</w:t>
            </w:r>
          </w:p>
        </w:tc>
      </w:tr>
      <w:tr>
        <w:trPr/>
        <w:tc>
          <w:tcPr>
            <w:tcW w:w="3136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jc w:val="start"/>
              <w:rPr/>
            </w:pPr>
            <w:r>
              <w:rPr>
                <w:rStyle w:val="Strong"/>
              </w:rPr>
              <w:t>Source repository</w:t>
            </w:r>
          </w:p>
        </w:tc>
        <w:tc>
          <w:tcPr>
            <w:tcW w:w="6211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jc w:val="start"/>
              <w:rPr/>
            </w:pPr>
            <w:r>
              <w:rPr/>
              <w:t>Music City source code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jc w:val="start"/>
              <w:rPr/>
            </w:pPr>
            <w:hyperlink r:id="rId3">
              <w:r>
                <w:rPr>
                  <w:rStyle w:val="Hyperlink"/>
                </w:rPr>
                <w:t>Open repository</w:t>
              </w:r>
            </w:hyperlink>
          </w:p>
        </w:tc>
      </w:tr>
      <w:tr>
        <w:trPr/>
        <w:tc>
          <w:tcPr>
            <w:tcW w:w="3136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jc w:val="start"/>
              <w:rPr/>
            </w:pPr>
            <w:r>
              <w:rPr>
                <w:rStyle w:val="Strong"/>
              </w:rPr>
              <w:t>Live Music City application</w:t>
            </w:r>
          </w:p>
        </w:tc>
        <w:tc>
          <w:tcPr>
            <w:tcW w:w="6211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jc w:val="start"/>
              <w:rPr/>
            </w:pPr>
            <w:r>
              <w:rPr/>
              <w:t>https://music-city.vercel.app/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jc w:val="start"/>
              <w:rPr/>
            </w:pPr>
            <w:hyperlink r:id="rId4">
              <w:r>
                <w:rPr>
                  <w:rStyle w:val="Hyperlink"/>
                </w:rPr>
                <w:t>Open live application</w:t>
              </w:r>
            </w:hyperlink>
          </w:p>
        </w:tc>
      </w:tr>
      <w:tr>
        <w:trPr/>
        <w:tc>
          <w:tcPr>
            <w:tcW w:w="3136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ind w:hanging="0" w:start="0" w:end="0"/>
              <w:jc w:val="start"/>
              <w:rPr/>
            </w:pPr>
            <w:r>
              <w:rPr>
                <w:rStyle w:val="Strong"/>
              </w:rPr>
              <w:t>Deployed Soroban contract</w:t>
            </w:r>
          </w:p>
        </w:tc>
        <w:tc>
          <w:tcPr>
            <w:tcW w:w="6211" w:type="dxa"/>
            <w:tcBorders/>
            <w:vAlign w:val="center"/>
          </w:tcPr>
          <w:p>
            <w:pPr>
              <w:pStyle w:val="TableContents"/>
              <w:bidi w:val="0"/>
              <w:spacing w:lineRule="auto" w:line="300" w:before="0" w:after="75"/>
              <w:jc w:val="start"/>
              <w:rPr>
                <w:rFonts w:ascii="SFMono-Regular;Consolas;monospace" w:hAnsi="SFMono-Regular;Consolas;monospace"/>
                <w:b w:val="false"/>
                <w:i w:val="false"/>
                <w:caps w:val="false"/>
                <w:smallCaps w:val="false"/>
                <w:sz w:val="16"/>
              </w:rPr>
            </w:pPr>
            <w:r>
              <w:rPr>
                <w:rFonts w:ascii="SFMono-Regular;Consolas;monospace" w:hAnsi="SFMono-Regular;Consolas;monospace"/>
                <w:b w:val="false"/>
                <w:i w:val="false"/>
                <w:caps w:val="false"/>
                <w:smallCaps w:val="false"/>
                <w:sz w:val="16"/>
              </w:rPr>
              <w:t>CD2ONBXRTTPKFHNOI2BV3UYUZOOC75R5LPUPCLSRDZHUWM5OAQVACNF3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jc w:val="start"/>
              <w:rPr/>
            </w:pPr>
            <w:hyperlink r:id="rId5">
              <w:r>
                <w:rPr>
                  <w:rStyle w:val="Hyperlink"/>
                </w:rPr>
                <w:t>Open contract</w:t>
              </w:r>
            </w:hyperlink>
          </w:p>
        </w:tc>
      </w:tr>
      <w:tr>
        <w:trPr/>
        <w:tc>
          <w:tcPr>
            <w:tcW w:w="3136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ind w:hanging="0" w:start="0" w:end="0"/>
              <w:jc w:val="start"/>
              <w:rPr/>
            </w:pPr>
            <w:r>
              <w:rPr>
                <w:rStyle w:val="Strong"/>
              </w:rPr>
              <w:t>Music City treasury address</w:t>
            </w:r>
          </w:p>
        </w:tc>
        <w:tc>
          <w:tcPr>
            <w:tcW w:w="6211" w:type="dxa"/>
            <w:tcBorders/>
            <w:vAlign w:val="center"/>
          </w:tcPr>
          <w:p>
            <w:pPr>
              <w:pStyle w:val="TableContents"/>
              <w:bidi w:val="0"/>
              <w:spacing w:lineRule="auto" w:line="300" w:before="0" w:after="75"/>
              <w:jc w:val="start"/>
              <w:rPr>
                <w:rFonts w:ascii="SFMono-Regular;Consolas;monospace" w:hAnsi="SFMono-Regular;Consolas;monospace"/>
                <w:b w:val="false"/>
                <w:i w:val="false"/>
                <w:caps w:val="false"/>
                <w:smallCaps w:val="false"/>
                <w:sz w:val="16"/>
              </w:rPr>
            </w:pPr>
            <w:r>
              <w:rPr>
                <w:rFonts w:ascii="SFMono-Regular;Consolas;monospace" w:hAnsi="SFMono-Regular;Consolas;monospace"/>
                <w:b w:val="false"/>
                <w:i w:val="false"/>
                <w:caps w:val="false"/>
                <w:smallCaps w:val="false"/>
                <w:sz w:val="16"/>
              </w:rPr>
              <w:t>GCW3HD5EBMVNBGOWCPTP3WNYXXT5OYB2UIMKDNSL3IZRGLVMU4OEKFWO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jc w:val="start"/>
              <w:rPr/>
            </w:pPr>
            <w:hyperlink r:id="rId6">
              <w:r>
                <w:rPr>
                  <w:rStyle w:val="Hyperlink"/>
                </w:rPr>
                <w:t>Open account</w:t>
              </w:r>
            </w:hyperlink>
          </w:p>
        </w:tc>
      </w:tr>
      <w:tr>
        <w:trPr/>
        <w:tc>
          <w:tcPr>
            <w:tcW w:w="3136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ind w:hanging="0" w:start="0" w:end="0"/>
              <w:jc w:val="start"/>
              <w:rPr/>
            </w:pPr>
            <w:r>
              <w:rPr>
                <w:rStyle w:val="Strong"/>
              </w:rPr>
              <w:t>Contract deployment transaction</w:t>
            </w:r>
          </w:p>
        </w:tc>
        <w:tc>
          <w:tcPr>
            <w:tcW w:w="6211" w:type="dxa"/>
            <w:tcBorders/>
            <w:vAlign w:val="center"/>
          </w:tcPr>
          <w:p>
            <w:pPr>
              <w:pStyle w:val="TableContents"/>
              <w:bidi w:val="0"/>
              <w:spacing w:lineRule="auto" w:line="300" w:before="0" w:after="75"/>
              <w:jc w:val="start"/>
              <w:rPr>
                <w:rFonts w:ascii="SFMono-Regular;Consolas;monospace" w:hAnsi="SFMono-Regular;Consolas;monospace"/>
                <w:b w:val="false"/>
                <w:i w:val="false"/>
                <w:caps w:val="false"/>
                <w:smallCaps w:val="false"/>
                <w:sz w:val="16"/>
              </w:rPr>
            </w:pPr>
            <w:r>
              <w:rPr>
                <w:rFonts w:ascii="SFMono-Regular;Consolas;monospace" w:hAnsi="SFMono-Regular;Consolas;monospace"/>
                <w:b w:val="false"/>
                <w:i w:val="false"/>
                <w:caps w:val="false"/>
                <w:smallCaps w:val="false"/>
                <w:sz w:val="16"/>
              </w:rPr>
              <w:t>c313274db1575c8c018dd2646e4e388e9a2794b0d21f738fbe55fc7e500b75d6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75"/>
              <w:jc w:val="start"/>
              <w:rPr/>
            </w:pPr>
            <w:hyperlink r:id="rId7">
              <w:r>
                <w:rPr>
                  <w:rStyle w:val="Hyperlink"/>
                </w:rPr>
                <w:t>Open transaction</w:t>
              </w:r>
            </w:hyperlink>
          </w:p>
        </w:tc>
      </w:tr>
    </w:tbl>
    <w:p>
      <w:pPr>
        <w:pStyle w:val="BodyText"/>
        <w:bidi w:val="0"/>
        <w:spacing w:before="135" w:after="135"/>
        <w:ind w:hanging="0" w:start="135" w:end="135"/>
        <w:jc w:val="start"/>
        <w:rPr/>
      </w:pPr>
      <w:r>
        <w:rPr>
          <w:rStyle w:val="Strong"/>
          <w:bdr w:val="single" w:sz="24" w:space="8" w:color="222222"/>
          <w:shd w:fill="F4F4F4" w:val="clear"/>
        </w:rPr>
        <w:t xml:space="preserve">Verification status: </w:t>
      </w:r>
      <w:r>
        <w:rPr>
          <w:rStyle w:val="Strong"/>
          <w:b/>
          <w:color w:val="176B3A"/>
          <w:bdr w:val="single" w:sz="24" w:space="8" w:color="222222"/>
          <w:shd w:fill="F4F4F4" w:val="clear"/>
        </w:rPr>
        <w:t>Complete</w:t>
      </w:r>
      <w:r>
        <w:rPr>
          <w:bdr w:val="single" w:sz="24" w:space="8" w:color="222222"/>
          <w:shd w:fill="F4F4F4" w:val="clear"/>
        </w:rPr>
        <w:br/>
        <w:t>The contract deployment and royalty-split publication above were completed and read back successfully on Stellar Testnet.</w:t>
      </w:r>
    </w:p>
    <w:p>
      <w:pPr>
        <w:pStyle w:val="Heading2"/>
        <w:bidi w:val="0"/>
        <w:jc w:val="start"/>
        <w:rPr/>
      </w:pPr>
      <w:r>
        <w:rPr/>
        <w:t>3. Screenshot Evidence</w:t>
      </w:r>
    </w:p>
    <w:p>
      <w:pPr>
        <w:pStyle w:val="BodyText"/>
        <w:bidi w:val="0"/>
        <w:jc w:val="start"/>
        <w:rPr/>
      </w:pPr>
      <w:r>
        <w:rPr/>
        <w:t xml:space="preserve">Music City live application: </w:t>
      </w:r>
      <w:hyperlink r:id="rId8">
        <w:r>
          <w:rPr>
            <w:rStyle w:val="Hyperlink"/>
          </w:rPr>
          <w:t>https://music-city.vercel.app/</w:t>
        </w:r>
      </w:hyperlink>
    </w:p>
    <w:p>
      <w:pPr>
        <w:pStyle w:val="BodyText"/>
        <w:bidi w:val="0"/>
        <w:spacing w:before="0" w:after="75"/>
        <w:jc w:val="start"/>
        <w:rPr/>
      </w:pPr>
      <w:r>
        <w:rPr/>
        <w:drawing>
          <wp:inline distT="0" distB="0" distL="0" distR="0">
            <wp:extent cx="13887450" cy="10334625"/>
            <wp:effectExtent l="0" t="0" r="0" b="0"/>
            <wp:docPr id="1" name="Image1" descr="" title="Music City landing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Music City landing page"/>
                    <pic:cNvPicPr>
                      <a:picLocks noChangeAspect="1" noChangeArrowheads="1"/>
                    </pic:cNvPicPr>
                  </pic:nvPicPr>
                  <pic:blipFill>
                    <a:blip r:link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0" cy="1033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Screenshot 1 — Music City landing page </w:t>
      </w:r>
      <w:r>
        <w:rPr/>
        <w:drawing>
          <wp:inline distT="0" distB="0" distL="0" distR="0">
            <wp:extent cx="13896975" cy="1638300"/>
            <wp:effectExtent l="0" t="0" r="0" b="0"/>
            <wp:docPr id="2" name="Image2" descr="" title="Music City playback 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Music City playback controls"/>
                    <pic:cNvPicPr>
                      <a:picLocks noChangeAspect="1" noChangeArrowheads="1"/>
                    </pic:cNvPicPr>
                  </pic:nvPicPr>
                  <pic:blipFill>
                    <a:blip r:link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69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Screenshot 2 — Music playback controls </w:t>
      </w:r>
      <w:r>
        <w:rPr/>
        <w:drawing>
          <wp:inline distT="0" distB="0" distL="0" distR="0">
            <wp:extent cx="13887450" cy="10334625"/>
            <wp:effectExtent l="0" t="0" r="0" b="0"/>
            <wp:docPr id="3" name="Image3" descr="" title="Music City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Music City login"/>
                    <pic:cNvPicPr>
                      <a:picLocks noChangeAspect="1" noChangeArrowheads="1"/>
                    </pic:cNvPicPr>
                  </pic:nvPicPr>
                  <pic:blipFill>
                    <a:blip r:link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0" cy="1033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Screenshot 3 — User login and account access </w:t>
      </w:r>
      <w:r>
        <w:rPr/>
        <w:drawing>
          <wp:inline distT="0" distB="0" distL="0" distR="0">
            <wp:extent cx="13792200" cy="11334750"/>
            <wp:effectExtent l="0" t="0" r="0" b="0"/>
            <wp:docPr id="4" name="Image4" descr="" title="Music City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Music City studio"/>
                    <pic:cNvPicPr>
                      <a:picLocks noChangeAspect="1" noChangeArrowheads="1"/>
                    </pic:cNvPicPr>
                  </pic:nvPicPr>
                  <pic:blipFill>
                    <a:blip r:link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0" cy="1133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Screenshot 4 — Artist studio dashboard </w:t>
      </w:r>
      <w:r>
        <w:rPr/>
        <w:drawing>
          <wp:inline distT="0" distB="0" distL="0" distR="0">
            <wp:extent cx="13849350" cy="10448925"/>
            <wp:effectExtent l="0" t="0" r="0" b="0"/>
            <wp:docPr id="5" name="Image5" descr="" title="Music City wal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Music City wallet"/>
                    <pic:cNvPicPr>
                      <a:picLocks noChangeAspect="1" noChangeArrowheads="1"/>
                    </pic:cNvPicPr>
                  </pic:nvPicPr>
                  <pic:blipFill>
                    <a:blip r:link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9350" cy="1044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Screenshot 5 — Artist account and Stellar wallet </w:t>
      </w:r>
      <w:r>
        <w:rPr/>
        <w:drawing>
          <wp:inline distT="0" distB="0" distL="0" distR="0">
            <wp:extent cx="13849350" cy="10448925"/>
            <wp:effectExtent l="0" t="0" r="0" b="0"/>
            <wp:docPr id="6" name="Image6" descr="" title="Music discovery cat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Music discovery catalog"/>
                    <pic:cNvPicPr>
                      <a:picLocks noChangeAspect="1" noChangeArrowheads="1"/>
                    </pic:cNvPicPr>
                  </pic:nvPicPr>
                  <pic:blipFill>
                    <a:blip r:link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9350" cy="1044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Screenshot 6 — Music discovery and track catalog </w:t>
      </w:r>
      <w:r>
        <w:rPr/>
        <w:drawing>
          <wp:inline distT="0" distB="0" distL="0" distR="0">
            <wp:extent cx="13954125" cy="9744075"/>
            <wp:effectExtent l="0" t="0" r="0" b="0"/>
            <wp:docPr id="7" name="Image7" descr="" title="Artist analy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Artist analytics"/>
                    <pic:cNvPicPr>
                      <a:picLocks noChangeAspect="1" noChangeArrowheads="1"/>
                    </pic:cNvPicPr>
                  </pic:nvPicPr>
                  <pic:blipFill>
                    <a:blip r:link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4125" cy="974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Screenshot 7 — Artist analytics and stream health </w:t>
      </w:r>
    </w:p>
    <w:sectPr>
      <w:type w:val="nextPage"/>
      <w:pgSz w:w="11906" w:h="16838"/>
      <w:pgMar w:left="964" w:right="964" w:gutter="0" w:header="0" w:top="737" w:footer="0" w:bottom="737"/>
      <w:pgNumType w:fmt="decimal"/>
      <w:formProt w:val="false"/>
      <w:textDirection w:val="lrTb"/>
      <w:docGrid w:type="default" w:linePitch="600" w:charSpace="4300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Helvetica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SFMono-Regular">
    <w:altName w:val="Consolas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12"/>
    </w:pPr>
    <w:rPr>
      <w:rFonts w:ascii="Arial;Helvetica;sans-serif" w:hAnsi="Arial;Helvetica;sans-serif" w:eastAsia="Arial;Helvetica;sans-serif" w:cs="Arial;Helvetica;sans-serif"/>
      <w:b w:val="false"/>
      <w:bCs w:val="false"/>
      <w:i w:val="false"/>
      <w:iCs w:val="false"/>
      <w:caps w:val="false"/>
      <w:smallCaps w:val="false"/>
      <w:color w:val="171717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30"/>
    </w:pPr>
    <w:rPr>
      <w:rFonts w:ascii="Noto Sans" w:hAnsi="Noto Sans"/>
      <w:b/>
      <w:bCs/>
      <w:spacing w:val="0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6" w:space="3" w:color="222222"/>
      </w:pBdr>
      <w:spacing w:before="210" w:after="90"/>
      <w:ind w:start="210" w:end="21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645AD"/>
      <w:u w:val="single"/>
    </w:rPr>
  </w:style>
  <w:style w:type="character" w:styleId="FollowedHyperlink">
    <w:name w:val="FollowedHyperlink"/>
    <w:rPr>
      <w:color w:val="0645AD"/>
      <w:u w:val="single"/>
    </w:rPr>
  </w:style>
  <w:style w:type="character" w:styleId="Strong">
    <w:name w:val="Strong"/>
    <w:qFormat/>
    <w:rPr>
      <w:b/>
      <w:b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75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subtitle">
    <w:name w:val="Body Text.subtitle"/>
    <w:basedOn w:val="BodyText"/>
    <w:qFormat/>
    <w:pPr/>
    <w:rPr>
      <w:color w:val="555555"/>
      <w:sz w:val="21"/>
      <w:szCs w:val="21"/>
    </w:rPr>
  </w:style>
  <w:style w:type="paragraph" w:styleId="TableHeading">
    <w:name w:val="Table Heading"/>
    <w:basedOn w:val="TableContents"/>
    <w:qFormat/>
    <w:pPr>
      <w:suppressLineNumbers/>
      <w:shd w:fill="F1F1F1" w:val="clear"/>
      <w:jc w:val="start"/>
    </w:pPr>
    <w:rPr>
      <w:b/>
      <w:bCs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usic-city/music-city" TargetMode="External"/><Relationship Id="rId3" Type="http://schemas.openxmlformats.org/officeDocument/2006/relationships/hyperlink" Target="https://github.com/music-city/music-city" TargetMode="External"/><Relationship Id="rId4" Type="http://schemas.openxmlformats.org/officeDocument/2006/relationships/hyperlink" Target="https://music-city.vercel.app/" TargetMode="External"/><Relationship Id="rId5" Type="http://schemas.openxmlformats.org/officeDocument/2006/relationships/hyperlink" Target="https://stellar.expert/explorer/testnet/contract/CD2ONBXRTTPKFHNOI2BV3UYUZOOC75R5LPUPCLSRDZHUWM5OAQVACNF3" TargetMode="External"/><Relationship Id="rId6" Type="http://schemas.openxmlformats.org/officeDocument/2006/relationships/hyperlink" Target="https://stellar.expert/explorer/testnet/account/GCW3HD5EBMVNBGOWCPTP3WNYXXT5OYB2UIMKDNSL3IZRGLVMU4OEKFWO" TargetMode="External"/><Relationship Id="rId7" Type="http://schemas.openxmlformats.org/officeDocument/2006/relationships/hyperlink" Target="https://stellar.expert/explorer/testnet/tx/c313274db1575c8c018dd2646e4e388e9a2794b0d21f738fbe55fc7e500b75d6" TargetMode="External"/><Relationship Id="rId8" Type="http://schemas.openxmlformats.org/officeDocument/2006/relationships/hyperlink" Target="https://music-city.vercel.app/" TargetMode="External"/><Relationship Id="rId9" Type="http://schemas.openxmlformats.org/officeDocument/2006/relationships/image" Target="file:///home/enoch/aworkspace/clients/music-city/docs/instawards/proof-pack-screenshots/01-landing.png" TargetMode="External"/><Relationship Id="rId10" Type="http://schemas.openxmlformats.org/officeDocument/2006/relationships/image" Target="file:///home/enoch/aworkspace/clients/music-city/docs/instawards/proof-pack-screenshots/02-player.png" TargetMode="External"/><Relationship Id="rId11" Type="http://schemas.openxmlformats.org/officeDocument/2006/relationships/image" Target="file:///home/enoch/aworkspace/clients/music-city/docs/instawards/proof-pack-screenshots/03-login.png" TargetMode="External"/><Relationship Id="rId12" Type="http://schemas.openxmlformats.org/officeDocument/2006/relationships/image" Target="file:///home/enoch/aworkspace/clients/music-city/docs/instawards/proof-pack-screenshots/04-studio.png" TargetMode="External"/><Relationship Id="rId13" Type="http://schemas.openxmlformats.org/officeDocument/2006/relationships/image" Target="file:///home/enoch/aworkspace/clients/music-city/docs/instawards/proof-pack-screenshots/05-wallet.png" TargetMode="External"/><Relationship Id="rId14" Type="http://schemas.openxmlformats.org/officeDocument/2006/relationships/image" Target="file:///home/enoch/aworkspace/clients/music-city/docs/instawards/proof-pack-screenshots/06-discovery.png" TargetMode="External"/><Relationship Id="rId15" Type="http://schemas.openxmlformats.org/officeDocument/2006/relationships/image" Target="file:///home/enoch/aworkspace/clients/music-city/docs/instawards/proof-pack-screenshots/07-analytics.png" TargetMode="Externa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Music City — Instawards Proof Pack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