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mbria Math" w:cs="Cambria Math" w:eastAsia="Cambria Math" w:hAnsi="Cambria Math"/>
          <w:b w:val="1"/>
          <w:sz w:val="36"/>
          <w:szCs w:val="36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6"/>
          <w:szCs w:val="36"/>
          <w:rtl w:val="0"/>
        </w:rPr>
        <w:t xml:space="preserve">What are the data types (statistical perspective)? </w:t>
      </w:r>
    </w:p>
    <w:p w:rsidR="00000000" w:rsidDel="00000000" w:rsidP="00000000" w:rsidRDefault="00000000" w:rsidRPr="00000000" w14:paraId="00000002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Nominal data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- serves as labels and names, and the order of this data doesn’t matter - examples like the name of people, items, places and more </w:t>
      </w:r>
    </w:p>
    <w:p w:rsidR="00000000" w:rsidDel="00000000" w:rsidP="00000000" w:rsidRDefault="00000000" w:rsidRPr="00000000" w14:paraId="00000004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Ordinal data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- categorical data like nominal - however, the order matters. The Likert Scale is a good example: Very happy &gt; Happy &gt; Neutral &gt; Unhappy &gt; Very Unhappy</w:t>
      </w:r>
    </w:p>
    <w:p w:rsidR="00000000" w:rsidDel="00000000" w:rsidP="00000000" w:rsidRDefault="00000000" w:rsidRPr="00000000" w14:paraId="00000006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rtl w:val="0"/>
        </w:rPr>
        <w:t xml:space="preserve">Interval data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- numerical data where there is no absolute zero. Zero of this data type serves a meaning. A good example is a temperature in Celsius, in which 0</w:t>
      </w: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rtl w:val="0"/>
        </w:rPr>
        <w:t xml:space="preserve">°C is a meaningful value. It does not mean there is no temperature; instead, there is a temperature, and its value is zero. </w:t>
      </w:r>
    </w:p>
    <w:p w:rsidR="00000000" w:rsidDel="00000000" w:rsidP="00000000" w:rsidRDefault="00000000" w:rsidRPr="00000000" w14:paraId="00000008">
      <w:pPr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rtl w:val="0"/>
        </w:rPr>
        <w:t xml:space="preserve">The main difference between ordinal and interval data is that the difference in range in the latter data type is fixed. The difference between 70°C and 100°C is 30°C, which is the same as the difference between -10°C and -40°C. On the other hand, you cannot conclude that the difference between Very Happy and Happy is precisely the same as the difference between Happy and Neutral </w:t>
      </w:r>
    </w:p>
    <w:p w:rsidR="00000000" w:rsidDel="00000000" w:rsidP="00000000" w:rsidRDefault="00000000" w:rsidRPr="00000000" w14:paraId="00000009">
      <w:pPr>
        <w:rPr>
          <w:rFonts w:ascii="Cambria Math" w:cs="Cambria Math" w:eastAsia="Cambria Math" w:hAnsi="Cambria Math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222222"/>
          <w:highlight w:val="white"/>
          <w:rtl w:val="0"/>
        </w:rPr>
        <w:t xml:space="preserve">Ratio data </w:t>
      </w: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rtl w:val="0"/>
        </w:rPr>
        <w:t xml:space="preserve">- numerical data where you can perform multiplication or division for this data type - for example, the heights. You can say that the height of the Building A is twice as tall as Building B, deriving the literal ratio of data</w:t>
      </w:r>
    </w:p>
    <w:p w:rsidR="00000000" w:rsidDel="00000000" w:rsidP="00000000" w:rsidRDefault="00000000" w:rsidRPr="00000000" w14:paraId="0000000B">
      <w:pPr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rtl w:val="0"/>
        </w:rPr>
        <w:t xml:space="preserve">The main characteristic that differentiates ratio data from interval data is there is a true zero in ratios. Zero units in height mean there is no height</w:t>
      </w:r>
    </w:p>
    <w:p w:rsidR="00000000" w:rsidDel="00000000" w:rsidP="00000000" w:rsidRDefault="00000000" w:rsidRPr="00000000" w14:paraId="0000000C">
      <w:pPr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 Math" w:cs="Cambria Math" w:eastAsia="Cambria Math" w:hAnsi="Cambria Math"/>
          <w:b w:val="1"/>
          <w:color w:val="222222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color w:val="222222"/>
          <w:highlight w:val="white"/>
          <w:rtl w:val="0"/>
        </w:rPr>
        <w:t xml:space="preserve">Selecting colour palette for data</w:t>
      </w:r>
    </w:p>
    <w:p w:rsidR="00000000" w:rsidDel="00000000" w:rsidP="00000000" w:rsidRDefault="00000000" w:rsidRPr="00000000" w14:paraId="0000000E">
      <w:pPr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20" w:line="360" w:lineRule="auto"/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rtl w:val="0"/>
        </w:rPr>
        <w:t xml:space="preserve">Mapping data space to colour space.</w:t>
      </w:r>
    </w:p>
    <w:p w:rsidR="00000000" w:rsidDel="00000000" w:rsidP="00000000" w:rsidRDefault="00000000" w:rsidRPr="00000000" w14:paraId="00000010">
      <w:pPr>
        <w:shd w:fill="ffffff" w:val="clear"/>
        <w:spacing w:after="220" w:before="220" w:line="360" w:lineRule="auto"/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rtl w:val="0"/>
        </w:rPr>
        <w:t xml:space="preserve">Data spaces: Continuous or Categorical</w:t>
      </w:r>
    </w:p>
    <w:p w:rsidR="00000000" w:rsidDel="00000000" w:rsidP="00000000" w:rsidRDefault="00000000" w:rsidRPr="00000000" w14:paraId="00000011">
      <w:pPr>
        <w:shd w:fill="ffffff" w:val="clear"/>
        <w:spacing w:after="220" w:before="220" w:line="360" w:lineRule="auto"/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rtl w:val="0"/>
        </w:rPr>
        <w:t xml:space="preserve">Colour Spaces: Munsell, RGB, HSV</w:t>
      </w:r>
    </w:p>
    <w:p w:rsidR="00000000" w:rsidDel="00000000" w:rsidP="00000000" w:rsidRDefault="00000000" w:rsidRPr="00000000" w14:paraId="00000012">
      <w:pPr>
        <w:shd w:fill="ffffff" w:val="clear"/>
        <w:spacing w:after="220" w:before="220" w:line="360" w:lineRule="auto"/>
        <w:rPr>
          <w:rFonts w:ascii="Cambria Math" w:cs="Cambria Math" w:eastAsia="Cambria Math" w:hAnsi="Cambria Math"/>
          <w:color w:val="222222"/>
          <w:highlight w:val="white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u w:val="single"/>
          <w:rtl w:val="0"/>
        </w:rPr>
        <w:t xml:space="preserve">For continuous data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="360" w:lineRule="auto"/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rtl w:val="0"/>
        </w:rPr>
        <w:t xml:space="preserve">Sequential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="360" w:lineRule="auto"/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rtl w:val="0"/>
        </w:rPr>
        <w:t xml:space="preserve">Map numerical scale to one of the axes of colour spaces, for example, Hue</w:t>
      </w:r>
    </w:p>
    <w:p w:rsidR="00000000" w:rsidDel="00000000" w:rsidP="00000000" w:rsidRDefault="00000000" w:rsidRPr="00000000" w14:paraId="00000015">
      <w:pPr>
        <w:shd w:fill="ffffff" w:val="clear"/>
        <w:spacing w:after="220" w:before="220" w:line="360" w:lineRule="auto"/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rtl w:val="0"/>
        </w:rPr>
        <w:t xml:space="preserve">Change in the graduation of colours.</w:t>
      </w:r>
    </w:p>
    <w:p w:rsidR="00000000" w:rsidDel="00000000" w:rsidP="00000000" w:rsidRDefault="00000000" w:rsidRPr="00000000" w14:paraId="00000016">
      <w:pPr>
        <w:shd w:fill="ffffff" w:val="clear"/>
        <w:spacing w:after="220" w:before="220" w:line="360" w:lineRule="auto"/>
        <w:rPr>
          <w:rFonts w:ascii="Cambria Math" w:cs="Cambria Math" w:eastAsia="Cambria Math" w:hAnsi="Cambria Math"/>
          <w:color w:val="222222"/>
          <w:highlight w:val="white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u w:val="single"/>
          <w:rtl w:val="0"/>
        </w:rPr>
        <w:t xml:space="preserve">For categorical data</w:t>
      </w:r>
    </w:p>
    <w:p w:rsidR="00000000" w:rsidDel="00000000" w:rsidP="00000000" w:rsidRDefault="00000000" w:rsidRPr="00000000" w14:paraId="00000017">
      <w:pPr>
        <w:shd w:fill="ffffff" w:val="clear"/>
        <w:spacing w:after="220" w:before="220" w:line="360" w:lineRule="auto"/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rtl w:val="0"/>
        </w:rPr>
        <w:t xml:space="preserve">Qualitative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="360" w:lineRule="auto"/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Fonts w:ascii="Cambria Math" w:cs="Cambria Math" w:eastAsia="Cambria Math" w:hAnsi="Cambria Math"/>
          <w:color w:val="222222"/>
          <w:highlight w:val="white"/>
          <w:rtl w:val="0"/>
        </w:rPr>
        <w:t xml:space="preserve">Assign distinctive colours for each category.</w:t>
      </w:r>
    </w:p>
    <w:p w:rsidR="00000000" w:rsidDel="00000000" w:rsidP="00000000" w:rsidRDefault="00000000" w:rsidRPr="00000000" w14:paraId="00000019">
      <w:pPr>
        <w:rPr>
          <w:rFonts w:ascii="Cambria Math" w:cs="Cambria Math" w:eastAsia="Cambria Math" w:hAnsi="Cambria Math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872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