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A8A" w:val="clear"/>
            <w:tcMar>
              <w:top w:type="dxa" w:w="600"/>
              <w:left w:type="dxa" w:w="400"/>
              <w:bottom w:type="dxa" w:w="600"/>
              <w:right w:type="dxa" w:w="400"/>
            </w:tcMar>
          </w:tcPr>
          <w:p>
            <w:pPr>
              <w:spacing w:after="120" w:before="200"/>
              <w:jc w:val="center"/>
            </w:pPr>
            <w:r>
              <w:rPr>
                <w:rFonts w:ascii="Arial" w:cs="Arial" w:eastAsia="Arial" w:hAnsi="Arial"/>
                <w:b/>
                <w:bCs/>
                <w:color w:val="FFFFFF"/>
                <w:sz w:val="52"/>
                <w:szCs w:val="52"/>
              </w:rPr>
              <w:t xml:space="preserve">SUPERSTORE SALES INSIGHT</w:t>
            </w:r>
          </w:p>
          <w:p>
            <w:pPr>
              <w:spacing w:after="200" w:before="60"/>
              <w:jc w:val="center"/>
            </w:pPr>
            <w:r>
              <w:rPr>
                <w:rFonts w:ascii="Arial" w:cs="Arial" w:eastAsia="Arial" w:hAnsi="Arial"/>
                <w:i/>
                <w:iCs/>
                <w:color w:val="AACCFF"/>
                <w:sz w:val="28"/>
                <w:szCs w:val="28"/>
              </w:rPr>
              <w:t xml:space="preserve">Power BI Analytics Report</w:t>
            </w:r>
          </w:p>
          <w:p>
            <w:pPr>
              <w:jc w:val="center"/>
            </w:pPr>
            <w:r>
              <w:rPr>
                <w:rFonts w:ascii="Arial" w:cs="Arial" w:eastAsia="Arial" w:hAnsi="Arial"/>
                <w:color w:val="4472C4"/>
                <w:sz w:val="24"/>
                <w:szCs w:val="24"/>
              </w:rPr>
              <w:t xml:space="preserve">____________________</w:t>
            </w:r>
          </w:p>
          <w:p>
            <w:pPr>
              <w:spacing w:after="60" w:before="120"/>
              <w:jc w:val="center"/>
            </w:pPr>
            <w:r>
              <w:rPr>
                <w:rFonts w:ascii="Arial" w:cs="Arial" w:eastAsia="Arial" w:hAnsi="Arial"/>
                <w:color w:val="CCE0FF"/>
                <w:sz w:val="24"/>
                <w:szCs w:val="24"/>
              </w:rPr>
              <w:t xml:space="preserve">Fiscal Years 2014 – 2017</w:t>
            </w:r>
          </w:p>
          <w:p>
            <w:pPr>
              <w:spacing w:after="200" w:before="60"/>
              <w:jc w:val="center"/>
            </w:pPr>
            <w:r>
              <w:rPr>
                <w:rFonts w:ascii="Arial" w:cs="Arial" w:eastAsia="Arial" w:hAnsi="Arial"/>
                <w:i/>
                <w:iCs/>
                <w:color w:val="99BBEE"/>
                <w:sz w:val="20"/>
                <w:szCs w:val="20"/>
              </w:rPr>
              <w:t xml:space="preserve">Sales | Profit | Category | Region | Segment Analysis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4472C4"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Total Revenue</w:t>
            </w:r>
          </w:p>
          <w:p>
            <w:pPr>
              <w:spacing w:before="40"/>
              <w:jc w:val="center"/>
            </w:pPr>
            <w:r>
              <w:rPr>
                <w:rFonts w:ascii="Arial" w:cs="Arial" w:eastAsia="Arial" w:hAnsi="Arial"/>
                <w:b/>
                <w:bCs/>
                <w:color w:val="FFD700"/>
                <w:sz w:val="32"/>
                <w:szCs w:val="32"/>
              </w:rPr>
              <w:t xml:space="preserve">$2.30M</w:t>
            </w:r>
          </w:p>
          <w:p>
            <w:pPr>
              <w:jc w:val="center"/>
            </w:pPr>
            <w:r>
              <w:rPr>
                <w:rFonts w:ascii="Arial" w:cs="Arial" w:eastAsia="Arial" w:hAnsi="Arial"/>
                <w:color w:val="CCDDFF"/>
                <w:sz w:val="16"/>
                <w:szCs w:val="16"/>
              </w:rPr>
              <w:t xml:space="preserve">2014–2017</w:t>
            </w:r>
          </w:p>
        </w:tc>
        <w:tc>
          <w:tcPr>
            <w:tcW w:type="dxa" w:w="2340"/>
            <w:tcBorders>
              <w:top w:val="single" w:color="CCCCCC" w:sz="1"/>
              <w:left w:val="single" w:color="CCCCCC" w:sz="1"/>
              <w:bottom w:val="single" w:color="CCCCCC" w:sz="1"/>
              <w:right w:val="single" w:color="CCCCCC" w:sz="1"/>
            </w:tcBorders>
            <w:shd w:fill="4472C4"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Total Profit</w:t>
            </w:r>
          </w:p>
          <w:p>
            <w:pPr>
              <w:spacing w:before="40"/>
              <w:jc w:val="center"/>
            </w:pPr>
            <w:r>
              <w:rPr>
                <w:rFonts w:ascii="Arial" w:cs="Arial" w:eastAsia="Arial" w:hAnsi="Arial"/>
                <w:b/>
                <w:bCs/>
                <w:color w:val="FFD700"/>
                <w:sz w:val="32"/>
                <w:szCs w:val="32"/>
              </w:rPr>
              <w:t xml:space="preserve">$286.40K</w:t>
            </w:r>
          </w:p>
          <w:p>
            <w:pPr>
              <w:jc w:val="center"/>
            </w:pPr>
            <w:r>
              <w:rPr>
                <w:rFonts w:ascii="Arial" w:cs="Arial" w:eastAsia="Arial" w:hAnsi="Arial"/>
                <w:color w:val="CCDDFF"/>
                <w:sz w:val="16"/>
                <w:szCs w:val="16"/>
              </w:rPr>
              <w:t xml:space="preserve">Net</w:t>
            </w:r>
          </w:p>
        </w:tc>
        <w:tc>
          <w:tcPr>
            <w:tcW w:type="dxa" w:w="2340"/>
            <w:tcBorders>
              <w:top w:val="single" w:color="CCCCCC" w:sz="1"/>
              <w:left w:val="single" w:color="CCCCCC" w:sz="1"/>
              <w:bottom w:val="single" w:color="CCCCCC" w:sz="1"/>
              <w:right w:val="single" w:color="CCCCCC" w:sz="1"/>
            </w:tcBorders>
            <w:shd w:fill="4472C4"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Total Quantity</w:t>
            </w:r>
          </w:p>
          <w:p>
            <w:pPr>
              <w:spacing w:before="40"/>
              <w:jc w:val="center"/>
            </w:pPr>
            <w:r>
              <w:rPr>
                <w:rFonts w:ascii="Arial" w:cs="Arial" w:eastAsia="Arial" w:hAnsi="Arial"/>
                <w:b/>
                <w:bCs/>
                <w:color w:val="FFD700"/>
                <w:sz w:val="32"/>
                <w:szCs w:val="32"/>
              </w:rPr>
              <w:t xml:space="preserve">38K</w:t>
            </w:r>
          </w:p>
          <w:p>
            <w:pPr>
              <w:jc w:val="center"/>
            </w:pPr>
            <w:r>
              <w:rPr>
                <w:rFonts w:ascii="Arial" w:cs="Arial" w:eastAsia="Arial" w:hAnsi="Arial"/>
                <w:color w:val="CCDDFF"/>
                <w:sz w:val="16"/>
                <w:szCs w:val="16"/>
              </w:rPr>
              <w:t xml:space="preserve">Units Sold</w:t>
            </w:r>
          </w:p>
        </w:tc>
        <w:tc>
          <w:tcPr>
            <w:tcW w:type="dxa" w:w="2340"/>
            <w:tcBorders>
              <w:top w:val="single" w:color="CCCCCC" w:sz="1"/>
              <w:left w:val="single" w:color="CCCCCC" w:sz="1"/>
              <w:bottom w:val="single" w:color="CCCCCC" w:sz="1"/>
              <w:right w:val="single" w:color="CCCCCC" w:sz="1"/>
            </w:tcBorders>
            <w:shd w:fill="4472C4"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Years Covered</w:t>
            </w:r>
          </w:p>
          <w:p>
            <w:pPr>
              <w:spacing w:before="40"/>
              <w:jc w:val="center"/>
            </w:pPr>
            <w:r>
              <w:rPr>
                <w:rFonts w:ascii="Arial" w:cs="Arial" w:eastAsia="Arial" w:hAnsi="Arial"/>
                <w:b/>
                <w:bCs/>
                <w:color w:val="FFD700"/>
                <w:sz w:val="32"/>
                <w:szCs w:val="32"/>
              </w:rPr>
              <w:t xml:space="preserve">4 Years</w:t>
            </w:r>
          </w:p>
          <w:p>
            <w:pPr>
              <w:jc w:val="center"/>
            </w:pPr>
            <w:r>
              <w:rPr>
                <w:rFonts w:ascii="Arial" w:cs="Arial" w:eastAsia="Arial" w:hAnsi="Arial"/>
                <w:color w:val="CCDDFF"/>
                <w:sz w:val="16"/>
                <w:szCs w:val="16"/>
              </w:rPr>
              <w:t xml:space="preserve">2014–2017</w:t>
            </w:r>
          </w:p>
        </w:tc>
      </w:tr>
    </w:tbl>
    <w:p>
      <w:pPr>
        <w:spacing w:after="0" w:before="160"/>
      </w:pPr>
      <w:r>
        <w:t xml:space="preserve"/>
      </w:r>
    </w:p>
    <w:p>
      <w:pPr>
        <w:spacing w:before="100"/>
        <w:jc w:val="center"/>
      </w:pPr>
      <w:r>
        <w:rPr>
          <w:rFonts w:ascii="Arial" w:cs="Arial" w:eastAsia="Arial" w:hAnsi="Arial"/>
          <w:i/>
          <w:iCs/>
          <w:color w:val="888888"/>
          <w:sz w:val="18"/>
          <w:szCs w:val="18"/>
        </w:rPr>
        <w:t xml:space="preserve">Prepared: April 2026  |  Tool: Microsoft Power BI Desktop  |  Data Source: Superstore Dataset</w:t>
      </w:r>
    </w:p>
    <w:p>
      <w:r>
        <w:br w:type="page"/>
      </w:r>
    </w:p>
    <w:p>
      <w:pPr>
        <w:pStyle w:val="Heading1"/>
        <w:pBdr>
          <w:bottom w:val="single" w:color="2E75B6" w:sz="8" w:space="4"/>
        </w:pBdr>
        <w:spacing w:after="180" w:before="360"/>
      </w:pPr>
      <w:r>
        <w:rPr>
          <w:rFonts w:ascii="Arial" w:cs="Arial" w:eastAsia="Arial" w:hAnsi="Arial"/>
          <w:b/>
          <w:bCs/>
          <w:color w:val="1F3A8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4"/>
        </w:pBdr>
        <w:spacing w:after="180" w:before="360"/>
      </w:pPr>
      <w:r>
        <w:rPr>
          <w:rFonts w:ascii="Arial" w:cs="Arial" w:eastAsia="Arial" w:hAnsi="Arial"/>
          <w:b/>
          <w:bCs/>
          <w:color w:val="1F3A8A"/>
          <w:sz w:val="32"/>
          <w:szCs w:val="32"/>
        </w:rPr>
        <w:t xml:space="preserve">1. Executive Summary</w:t>
      </w:r>
    </w:p>
    <w:p>
      <w:pPr>
        <w:spacing w:after="160" w:before="80"/>
      </w:pPr>
      <w:r>
        <w:rPr>
          <w:rFonts w:ascii="Arial" w:cs="Arial" w:eastAsia="Arial" w:hAnsi="Arial"/>
          <w:b w:val="false"/>
          <w:bCs w:val="false"/>
          <w:color w:val="1A1A1A"/>
          <w:sz w:val="22"/>
          <w:szCs w:val="22"/>
        </w:rPr>
        <w:t xml:space="preserve">This report presents a comprehensive analysis of Superstore sales data spanning four fiscal years (2014–2017), developed using Microsoft Power BI Desktop. The project, titled Superstore Sales Insight, is organized across three interactive dashboard pages, each addressing a distinct analytical dimension: overall sales performance, regional and state-level breakdowns, and category and sub-category deep dives.</w:t>
      </w:r>
    </w:p>
    <w:p>
      <w:pPr>
        <w:spacing w:after="160" w:before="80"/>
      </w:pPr>
      <w:r>
        <w:rPr>
          <w:rFonts w:ascii="Arial" w:cs="Arial" w:eastAsia="Arial" w:hAnsi="Arial"/>
          <w:b w:val="false"/>
          <w:bCs w:val="false"/>
          <w:color w:val="1A1A1A"/>
          <w:sz w:val="22"/>
          <w:szCs w:val="22"/>
        </w:rPr>
        <w:t xml:space="preserve">The Superstore dataset is a widely used retail analytics benchmark encompassing orders across the United States, covering product categories such as Technology, Office Supplies, and Furniture, sold to Consumer, Corporate, and Home Office segments. The analysis provides decision-makers with actionable insights on revenue trends, profit drivers, geographic performance, and segment distribution.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1F3A8A" w:sz="12"/>
              <w:bottom w:val="none" w:color="FFFFFF" w:sz="0"/>
              <w:right w:val="none" w:color="FFFFFF" w:sz="0"/>
            </w:tcBorders>
            <w:shd w:fill="EEF3FB" w:val="clear"/>
            <w:tcMar>
              <w:top w:type="dxa" w:w="80"/>
              <w:left w:type="dxa" w:w="200"/>
              <w:bottom w:type="dxa" w:w="80"/>
              <w:right w:type="dxa" w:w="120"/>
            </w:tcMar>
          </w:tcPr>
          <w:p>
            <w:r>
              <w:rPr>
                <w:rFonts w:ascii="Arial" w:cs="Arial" w:eastAsia="Arial" w:hAnsi="Arial"/>
                <w:color w:val="1A1A1A"/>
                <w:sz w:val="20"/>
                <w:szCs w:val="20"/>
              </w:rPr>
              <w:t xml:space="preserve">Key Takeaway: Technology drives the highest profit share (50.79%), while the Consumer segment accounts for more than half of total sales ($1.16M). Revenue and profit have grown consistently year-over-year from 2014 to 2017.</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1.1 High-Level Performance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A8A"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Total Revenue</w:t>
            </w:r>
          </w:p>
          <w:p>
            <w:pPr>
              <w:spacing w:before="60"/>
              <w:jc w:val="center"/>
            </w:pPr>
            <w:r>
              <w:rPr>
                <w:rFonts w:ascii="Arial" w:cs="Arial" w:eastAsia="Arial" w:hAnsi="Arial"/>
                <w:b/>
                <w:bCs/>
                <w:color w:val="FFD700"/>
                <w:sz w:val="36"/>
                <w:szCs w:val="36"/>
              </w:rPr>
              <w:t xml:space="preserve">$2.30M</w:t>
            </w:r>
          </w:p>
          <w:p>
            <w:pPr>
              <w:jc w:val="center"/>
            </w:pPr>
            <w:r>
              <w:rPr>
                <w:rFonts w:ascii="Arial" w:cs="Arial" w:eastAsia="Arial" w:hAnsi="Arial"/>
                <w:color w:val="CCDDFF"/>
                <w:sz w:val="16"/>
                <w:szCs w:val="16"/>
              </w:rPr>
              <w:t xml:space="preserve">All 4 years combined</w:t>
            </w:r>
          </w:p>
        </w:tc>
        <w:tc>
          <w:tcPr>
            <w:tcW w:type="dxa" w:w="3120"/>
            <w:tcBorders>
              <w:top w:val="single" w:color="CCCCCC" w:sz="1"/>
              <w:left w:val="single" w:color="CCCCCC" w:sz="1"/>
              <w:bottom w:val="single" w:color="CCCCCC" w:sz="1"/>
              <w:right w:val="single" w:color="CCCCCC" w:sz="1"/>
            </w:tcBorders>
            <w:shd w:fill="1F3A8A"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Total Profit</w:t>
            </w:r>
          </w:p>
          <w:p>
            <w:pPr>
              <w:spacing w:before="60"/>
              <w:jc w:val="center"/>
            </w:pPr>
            <w:r>
              <w:rPr>
                <w:rFonts w:ascii="Arial" w:cs="Arial" w:eastAsia="Arial" w:hAnsi="Arial"/>
                <w:b/>
                <w:bCs/>
                <w:color w:val="FFD700"/>
                <w:sz w:val="36"/>
                <w:szCs w:val="36"/>
              </w:rPr>
              <w:t xml:space="preserve">$286.40K</w:t>
            </w:r>
          </w:p>
          <w:p>
            <w:pPr>
              <w:jc w:val="center"/>
            </w:pPr>
            <w:r>
              <w:rPr>
                <w:rFonts w:ascii="Arial" w:cs="Arial" w:eastAsia="Arial" w:hAnsi="Arial"/>
                <w:color w:val="CCDDFF"/>
                <w:sz w:val="16"/>
                <w:szCs w:val="16"/>
              </w:rPr>
              <w:t xml:space="preserve">~12.4% profit margin</w:t>
            </w:r>
          </w:p>
        </w:tc>
        <w:tc>
          <w:tcPr>
            <w:tcW w:type="dxa" w:w="3120"/>
            <w:tcBorders>
              <w:top w:val="single" w:color="CCCCCC" w:sz="1"/>
              <w:left w:val="single" w:color="CCCCCC" w:sz="1"/>
              <w:bottom w:val="single" w:color="CCCCCC" w:sz="1"/>
              <w:right w:val="single" w:color="CCCCCC" w:sz="1"/>
            </w:tcBorders>
            <w:shd w:fill="1F3A8A"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Total Quantity</w:t>
            </w:r>
          </w:p>
          <w:p>
            <w:pPr>
              <w:spacing w:before="60"/>
              <w:jc w:val="center"/>
            </w:pPr>
            <w:r>
              <w:rPr>
                <w:rFonts w:ascii="Arial" w:cs="Arial" w:eastAsia="Arial" w:hAnsi="Arial"/>
                <w:b/>
                <w:bCs/>
                <w:color w:val="FFD700"/>
                <w:sz w:val="36"/>
                <w:szCs w:val="36"/>
              </w:rPr>
              <w:t xml:space="preserve">38,000</w:t>
            </w:r>
          </w:p>
          <w:p>
            <w:pPr>
              <w:jc w:val="center"/>
            </w:pPr>
            <w:r>
              <w:rPr>
                <w:rFonts w:ascii="Arial" w:cs="Arial" w:eastAsia="Arial" w:hAnsi="Arial"/>
                <w:color w:val="CCDDFF"/>
                <w:sz w:val="16"/>
                <w:szCs w:val="16"/>
              </w:rPr>
              <w:t xml:space="preserve">Units sold</w:t>
            </w:r>
          </w:p>
        </w:tc>
      </w:tr>
    </w:tbl>
    <w:p>
      <w:pPr>
        <w:spacing w:after="0" w:before="120"/>
      </w:pPr>
      <w:r>
        <w:t xml:space="preserve"/>
      </w:r>
    </w:p>
    <w:p>
      <w:pPr>
        <w:spacing w:after="160" w:before="80"/>
      </w:pPr>
      <w:r>
        <w:rPr>
          <w:rFonts w:ascii="Arial" w:cs="Arial" w:eastAsia="Arial" w:hAnsi="Arial"/>
          <w:b w:val="false"/>
          <w:bCs w:val="false"/>
          <w:color w:val="1A1A1A"/>
          <w:sz w:val="22"/>
          <w:szCs w:val="22"/>
        </w:rPr>
        <w:t xml:space="preserve">Revenue grew steadily from $0.48M in 2014 to $0.73M in 2017, representing a 52% increase over the four-year period. Profit followed a similar trajectory, rising from approximately 50K to 93K. Quarter 4 consistently recorded the highest sales across all years, indicating strong seasonal demand in the final quarter.</w:t>
      </w:r>
    </w:p>
    <w:p>
      <w:r>
        <w:br w:type="page"/>
      </w:r>
    </w:p>
    <w:p>
      <w:pPr>
        <w:pStyle w:val="Heading1"/>
        <w:pBdr>
          <w:bottom w:val="single" w:color="2E75B6" w:sz="8" w:space="4"/>
        </w:pBdr>
        <w:spacing w:after="180" w:before="360"/>
      </w:pPr>
      <w:r>
        <w:rPr>
          <w:rFonts w:ascii="Arial" w:cs="Arial" w:eastAsia="Arial" w:hAnsi="Arial"/>
          <w:b/>
          <w:bCs/>
          <w:color w:val="1F3A8A"/>
          <w:sz w:val="32"/>
          <w:szCs w:val="32"/>
        </w:rPr>
        <w:t xml:space="preserve">2. Data Model &amp; Schema</w:t>
      </w:r>
    </w:p>
    <w:p>
      <w:pPr>
        <w:spacing w:after="160" w:before="80"/>
      </w:pPr>
      <w:r>
        <w:rPr>
          <w:rFonts w:ascii="Arial" w:cs="Arial" w:eastAsia="Arial" w:hAnsi="Arial"/>
          <w:b w:val="false"/>
          <w:bCs w:val="false"/>
          <w:color w:val="1A1A1A"/>
          <w:sz w:val="22"/>
          <w:szCs w:val="22"/>
        </w:rPr>
        <w:t xml:space="preserve">The Power BI data model is built on a single Superstore table containing all transactional and dimensional attributes. The table includes the following fields:</w:t>
      </w:r>
    </w:p>
    <w:p>
      <w:pPr>
        <w:spacing w:after="0" w:before="60"/>
      </w:pPr>
      <w:r>
        <w:t xml:space="preserve"/>
      </w:r>
    </w:p>
    <w:p>
      <w:pPr>
        <w:pStyle w:val="Heading2"/>
        <w:spacing w:after="120" w:before="280"/>
      </w:pPr>
      <w:r>
        <w:rPr>
          <w:rFonts w:ascii="Arial" w:cs="Arial" w:eastAsia="Arial" w:hAnsi="Arial"/>
          <w:b/>
          <w:bCs/>
          <w:color w:val="2E75B6"/>
          <w:sz w:val="26"/>
          <w:szCs w:val="26"/>
        </w:rPr>
        <w:t xml:space="preserve">2.1 Dimensions (Text / Categorical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1A"/>
                <w:sz w:val="20"/>
                <w:szCs w:val="20"/>
              </w:rPr>
              <w:t xml:space="preserve">Category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Product category (Technology, Office Supplies, Furniture)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Sub-Category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Granular product group within each category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1A"/>
                <w:sz w:val="20"/>
                <w:szCs w:val="20"/>
              </w:rPr>
              <w:t xml:space="preserve">City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City of customer order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State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US state of the order</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1A"/>
                <w:sz w:val="20"/>
                <w:szCs w:val="20"/>
              </w:rPr>
              <w:t xml:space="preserve">Country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Country (United States)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Region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Geographic region (Central, East, South, West)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1A"/>
                <w:sz w:val="20"/>
                <w:szCs w:val="20"/>
              </w:rPr>
              <w:t xml:space="preserve">Segment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Customer segment (Consumer, Corporate, Home Office)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Ship Mode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Shipping method chosen for the order</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1A"/>
                <w:sz w:val="20"/>
                <w:szCs w:val="20"/>
              </w:rPr>
              <w:t xml:space="preserve">Order ID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Unique order identifier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Product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Unique product identifier</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1A"/>
                <w:sz w:val="20"/>
                <w:szCs w:val="20"/>
              </w:rPr>
              <w:t xml:space="preserve">Product Name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Full product name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Customer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Unique customer identifier</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1A"/>
                <w:sz w:val="20"/>
                <w:szCs w:val="20"/>
              </w:rPr>
              <w:t xml:space="preserve">Customer Name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Name of the customer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Weekday/Weekend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Flag indicating order day type</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2.2 Date &amp; Time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1A"/>
                <w:sz w:val="20"/>
                <w:szCs w:val="20"/>
              </w:rPr>
              <w:t xml:space="preserve">Order Date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Full date of the order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Ship 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Full date of shipment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1A"/>
                <w:sz w:val="20"/>
                <w:szCs w:val="20"/>
              </w:rPr>
              <w:t xml:space="preserve">Ord Year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Extracted year from Order Date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Ord Month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Extracted month from Order Date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1A"/>
                <w:sz w:val="20"/>
                <w:szCs w:val="20"/>
              </w:rPr>
              <w:t xml:space="preserve">Ord Day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Day of month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Quarter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Quarter of the year (Qtr 1–Qtr 4)</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1A"/>
                <w:sz w:val="20"/>
                <w:szCs w:val="20"/>
              </w:rPr>
              <w:t xml:space="preserve">day of week</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Calculated day name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days for shipment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Calculated field: Ship Date − Order Date</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2.3 Measures &amp; Numeric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1A"/>
                <w:sz w:val="20"/>
                <w:szCs w:val="20"/>
              </w:rPr>
              <w:t xml:space="preserve">Sales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Measure (Σ)</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Revenue generated from orders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Profit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Measure (Σ)</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Profit earned per order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1A"/>
                <w:sz w:val="20"/>
                <w:szCs w:val="20"/>
              </w:rPr>
              <w:t xml:space="preserve">Quantity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Measure (Σ)</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Number of units sold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Discount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Measure (Σ)</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Discount applied to orders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1A"/>
                <w:sz w:val="20"/>
                <w:szCs w:val="20"/>
              </w:rPr>
              <w:t xml:space="preserve">Postal Code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Dimension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Postal code for geographic mapping</w:t>
            </w:r>
          </w:p>
        </w:tc>
      </w:tr>
    </w:tbl>
    <w:p>
      <w:r>
        <w:br w:type="page"/>
      </w:r>
    </w:p>
    <w:p>
      <w:pPr>
        <w:pStyle w:val="Heading1"/>
        <w:pBdr>
          <w:bottom w:val="single" w:color="2E75B6" w:sz="8" w:space="4"/>
        </w:pBdr>
        <w:spacing w:after="180" w:before="360"/>
      </w:pPr>
      <w:r>
        <w:rPr>
          <w:rFonts w:ascii="Arial" w:cs="Arial" w:eastAsia="Arial" w:hAnsi="Arial"/>
          <w:b/>
          <w:bCs/>
          <w:color w:val="1F3A8A"/>
          <w:sz w:val="32"/>
          <w:szCs w:val="32"/>
        </w:rPr>
        <w:t xml:space="preserve">3. Dashboard Page 1: Sales Dashboard</w:t>
      </w:r>
    </w:p>
    <w:p>
      <w:pPr>
        <w:spacing w:after="160" w:before="80"/>
      </w:pPr>
      <w:r>
        <w:rPr>
          <w:rFonts w:ascii="Arial" w:cs="Arial" w:eastAsia="Arial" w:hAnsi="Arial"/>
          <w:b w:val="false"/>
          <w:bCs w:val="false"/>
          <w:color w:val="1A1A1A"/>
          <w:sz w:val="22"/>
          <w:szCs w:val="22"/>
        </w:rPr>
        <w:t xml:space="preserve">The Sales Dashboard provides a top-level overview of the business performance across all years. It is designed for executive-level consumption, presenting the most critical KPIs and visual breakdowns at a glance.</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3.1 KPI Cards</w:t>
      </w:r>
    </w:p>
    <w:p>
      <w:pPr>
        <w:spacing w:after="160" w:before="80"/>
      </w:pPr>
      <w:r>
        <w:rPr>
          <w:rFonts w:ascii="Arial" w:cs="Arial" w:eastAsia="Arial" w:hAnsi="Arial"/>
          <w:b w:val="false"/>
          <w:bCs w:val="false"/>
          <w:color w:val="1A1A1A"/>
          <w:sz w:val="22"/>
          <w:szCs w:val="22"/>
        </w:rPr>
        <w:t xml:space="preserve">Four summary cards are displayed at the top of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1A"/>
                <w:sz w:val="20"/>
                <w:szCs w:val="20"/>
              </w:rPr>
              <w:t xml:space="preserve">Total Revenue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$2.30M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Total Profit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$286.40K</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1A"/>
                <w:sz w:val="20"/>
                <w:szCs w:val="20"/>
              </w:rPr>
              <w:t xml:space="preserve">Total Quantity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38K units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Date Range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2014, 2015, 2016, 2017</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3.2 Total Profit by Year (Bar + Line Combo Chart)</w:t>
      </w:r>
    </w:p>
    <w:p>
      <w:pPr>
        <w:spacing w:after="160" w:before="80"/>
      </w:pPr>
      <w:r>
        <w:rPr>
          <w:rFonts w:ascii="Arial" w:cs="Arial" w:eastAsia="Arial" w:hAnsi="Arial"/>
          <w:b w:val="false"/>
          <w:bCs w:val="false"/>
          <w:color w:val="1A1A1A"/>
          <w:sz w:val="22"/>
          <w:szCs w:val="22"/>
        </w:rPr>
        <w:t xml:space="preserve">This dual-axis chart overlays Sales (bars) and Profit (line) from 2014 to 2017: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w:t>
            </w:r>
          </w:p>
        </w:tc>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Sum of Sales</w:t>
            </w:r>
          </w:p>
        </w:tc>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Sum of Profit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1A"/>
                <w:sz w:val="20"/>
                <w:szCs w:val="20"/>
              </w:rPr>
              <w:t xml:space="preserve">2014</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$0.48M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~50K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2015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$0.47M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~62K</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1A"/>
                <w:sz w:val="20"/>
                <w:szCs w:val="20"/>
              </w:rPr>
              <w:t xml:space="preserve">2016</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$0.61M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~82K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2017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$0.73M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~93K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1F3A8A" w:sz="12"/>
              <w:bottom w:val="none" w:color="FFFFFF" w:sz="0"/>
              <w:right w:val="none" w:color="FFFFFF" w:sz="0"/>
            </w:tcBorders>
            <w:shd w:fill="EEF3FB" w:val="clear"/>
            <w:tcMar>
              <w:top w:type="dxa" w:w="80"/>
              <w:left w:type="dxa" w:w="200"/>
              <w:bottom w:type="dxa" w:w="80"/>
              <w:right w:type="dxa" w:w="120"/>
            </w:tcMar>
          </w:tcPr>
          <w:p>
            <w:r>
              <w:rPr>
                <w:rFonts w:ascii="Arial" w:cs="Arial" w:eastAsia="Arial" w:hAnsi="Arial"/>
                <w:color w:val="1A1A1A"/>
                <w:sz w:val="20"/>
                <w:szCs w:val="20"/>
              </w:rPr>
              <w:t xml:space="preserve">Insight: 2017 was the strongest year in both revenue ($0.73M) and profit (~93K). Despite 2015 showing a slight revenue dip vs. 2014, profit continued its upward trajectory, suggesting improved cost management.</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3.3 Quarter-wise Sales (Grouped Bar Chart)</w:t>
      </w:r>
    </w:p>
    <w:p>
      <w:pPr>
        <w:spacing w:after="160" w:before="80"/>
      </w:pPr>
      <w:r>
        <w:rPr>
          <w:rFonts w:ascii="Arial" w:cs="Arial" w:eastAsia="Arial" w:hAnsi="Arial"/>
          <w:b w:val="false"/>
          <w:bCs w:val="false"/>
          <w:color w:val="1A1A1A"/>
          <w:sz w:val="22"/>
          <w:szCs w:val="22"/>
        </w:rPr>
        <w:t xml:space="preserve">Sales are broken out by quarter across the four years. Q4 consistently outperforms other quarters each year, reaching $0.28M in 2017. This seasonal peak likely reflects end-of-year purchasing cycles in corporate and consumer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w:t>
            </w:r>
          </w:p>
        </w:tc>
        <w:tc>
          <w:tcPr>
            <w:tcW w:type="dxa" w:w="1872"/>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Q1</w:t>
            </w:r>
          </w:p>
        </w:tc>
        <w:tc>
          <w:tcPr>
            <w:tcW w:type="dxa" w:w="1872"/>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Q2</w:t>
            </w:r>
          </w:p>
        </w:tc>
        <w:tc>
          <w:tcPr>
            <w:tcW w:type="dxa" w:w="1872"/>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Q3</w:t>
            </w:r>
          </w:p>
        </w:tc>
        <w:tc>
          <w:tcPr>
            <w:tcW w:type="dxa" w:w="1872"/>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Q4</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1A"/>
                <w:sz w:val="20"/>
                <w:szCs w:val="20"/>
              </w:rPr>
              <w:t xml:space="preserve">2014</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$0.07M</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$0.14M</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$0.18M</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$0.09M</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2015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$0.07M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$0.09M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$0.13M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$0.18M</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1A"/>
                <w:sz w:val="20"/>
                <w:szCs w:val="20"/>
              </w:rPr>
              <w:t xml:space="preserve">2016</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$0.09M</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$0.14M</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$0.18M</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$0.14M (est.)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2017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$0.12M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$0.13M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$0.20M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$0.28M</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3.4 Sales and Profit by Segment (Pie Chart)</w:t>
      </w:r>
    </w:p>
    <w:p>
      <w:pPr>
        <w:spacing w:after="160" w:before="80"/>
      </w:pPr>
      <w:r>
        <w:rPr>
          <w:rFonts w:ascii="Arial" w:cs="Arial" w:eastAsia="Arial" w:hAnsi="Arial"/>
          <w:b w:val="false"/>
          <w:bCs w:val="false"/>
          <w:color w:val="1A1A1A"/>
          <w:sz w:val="22"/>
          <w:szCs w:val="22"/>
        </w:rPr>
        <w:t xml:space="preserve">Customer segments contribute to total sales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Segment</w:t>
            </w:r>
          </w:p>
        </w:tc>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Sales</w:t>
            </w:r>
          </w:p>
        </w:tc>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Share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1A"/>
                <w:sz w:val="20"/>
                <w:szCs w:val="20"/>
              </w:rPr>
              <w:t xml:space="preserve">Consumer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$1.16M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50.56%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Corporate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$0.71M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30.74%</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1A"/>
                <w:sz w:val="20"/>
                <w:szCs w:val="20"/>
              </w:rPr>
              <w:t xml:space="preserve">Home Office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$0.43M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18.70%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1F3A8A" w:sz="12"/>
              <w:bottom w:val="none" w:color="FFFFFF" w:sz="0"/>
              <w:right w:val="none" w:color="FFFFFF" w:sz="0"/>
            </w:tcBorders>
            <w:shd w:fill="EEF3FB" w:val="clear"/>
            <w:tcMar>
              <w:top w:type="dxa" w:w="80"/>
              <w:left w:type="dxa" w:w="200"/>
              <w:bottom w:type="dxa" w:w="80"/>
              <w:right w:type="dxa" w:w="120"/>
            </w:tcMar>
          </w:tcPr>
          <w:p>
            <w:r>
              <w:rPr>
                <w:rFonts w:ascii="Arial" w:cs="Arial" w:eastAsia="Arial" w:hAnsi="Arial"/>
                <w:color w:val="1A1A1A"/>
                <w:sz w:val="20"/>
                <w:szCs w:val="20"/>
              </w:rPr>
              <w:t xml:space="preserve">Insight: The Consumer segment is the dominant revenue driver, accounting for more than half of all sales. Strategic efforts to retain and grow Consumer accounts would have the highest revenue impact.</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3.5 Profit &amp; Sales by Category (Donut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Profit Share</w:t>
            </w:r>
          </w:p>
        </w:tc>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Profit Value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1A"/>
                <w:sz w:val="20"/>
                <w:szCs w:val="20"/>
              </w:rPr>
              <w:t xml:space="preserve">Technology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50.79%</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~145.45K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Office Supplies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42.77%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~122.49K</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1A"/>
                <w:sz w:val="20"/>
                <w:szCs w:val="20"/>
              </w:rPr>
              <w:t xml:space="preserve">Furniture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6.44%</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~18.45K</w:t>
            </w:r>
          </w:p>
        </w:tc>
      </w:tr>
    </w:tbl>
    <w:p>
      <w:pPr>
        <w:spacing w:after="0" w:before="80"/>
      </w:pPr>
      <w:r>
        <w:t xml:space="preserve"/>
      </w:r>
    </w:p>
    <w:p>
      <w:pPr>
        <w:spacing w:after="160" w:before="80"/>
      </w:pPr>
      <w:r>
        <w:rPr>
          <w:rFonts w:ascii="Arial" w:cs="Arial" w:eastAsia="Arial" w:hAnsi="Arial"/>
          <w:b w:val="false"/>
          <w:bCs w:val="false"/>
          <w:color w:val="1A1A1A"/>
          <w:sz w:val="22"/>
          <w:szCs w:val="22"/>
        </w:rPr>
        <w:t xml:space="preserve">Technology is the most profitable category by a clear margin. Furniture, while present in the product mix, contributes minimally to profit, likely due to higher discounting or shipping costs.</w:t>
      </w:r>
    </w:p>
    <w:p>
      <w:r>
        <w:br w:type="page"/>
      </w:r>
    </w:p>
    <w:p>
      <w:pPr>
        <w:pStyle w:val="Heading1"/>
        <w:pBdr>
          <w:bottom w:val="single" w:color="2E75B6" w:sz="8" w:space="4"/>
        </w:pBdr>
        <w:spacing w:after="180" w:before="360"/>
      </w:pPr>
      <w:r>
        <w:rPr>
          <w:rFonts w:ascii="Arial" w:cs="Arial" w:eastAsia="Arial" w:hAnsi="Arial"/>
          <w:b/>
          <w:bCs/>
          <w:color w:val="1F3A8A"/>
          <w:sz w:val="32"/>
          <w:szCs w:val="32"/>
        </w:rPr>
        <w:t xml:space="preserve">4. Dashboard Page 2: Region &amp; State Level Analysis</w:t>
      </w:r>
    </w:p>
    <w:p>
      <w:pPr>
        <w:spacing w:after="160" w:before="80"/>
      </w:pPr>
      <w:r>
        <w:rPr>
          <w:rFonts w:ascii="Arial" w:cs="Arial" w:eastAsia="Arial" w:hAnsi="Arial"/>
          <w:b w:val="false"/>
          <w:bCs w:val="false"/>
          <w:color w:val="1A1A1A"/>
          <w:sz w:val="22"/>
          <w:szCs w:val="22"/>
        </w:rPr>
        <w:t xml:space="preserve">This page allows interactive drilling from national to regional to city level, supported by slicers for Region, State, and Year. It is intended for sales managers and regional directors.</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4.1 Interactive Filters</w:t>
      </w:r>
    </w:p>
    <w:p>
      <w:pPr>
        <w:spacing w:after="160" w:before="80"/>
      </w:pPr>
      <w:r>
        <w:rPr>
          <w:rFonts w:ascii="Arial" w:cs="Arial" w:eastAsia="Arial" w:hAnsi="Arial"/>
          <w:b w:val="false"/>
          <w:bCs w:val="false"/>
          <w:color w:val="1A1A1A"/>
          <w:sz w:val="22"/>
          <w:szCs w:val="22"/>
        </w:rPr>
        <w:t xml:space="preserve">The following slicers are available on this page:</w:t>
      </w:r>
    </w:p>
    <w:p>
      <w:pPr>
        <w:pStyle w:val="ListParagraph"/>
        <w:numPr>
          <w:ilvl w:val="0"/>
          <w:numId w:val="2"/>
        </w:numPr>
        <w:spacing w:after="60" w:before="60"/>
      </w:pPr>
      <w:r>
        <w:rPr>
          <w:rFonts w:ascii="Arial" w:cs="Arial" w:eastAsia="Arial" w:hAnsi="Arial"/>
          <w:color w:val="1A1A1A"/>
          <w:sz w:val="22"/>
          <w:szCs w:val="22"/>
        </w:rPr>
        <w:t xml:space="preserve">Region: Central, East, South, West</w:t>
      </w:r>
    </w:p>
    <w:p>
      <w:pPr>
        <w:pStyle w:val="ListParagraph"/>
        <w:numPr>
          <w:ilvl w:val="0"/>
          <w:numId w:val="2"/>
        </w:numPr>
        <w:spacing w:after="60" w:before="60"/>
      </w:pPr>
      <w:r>
        <w:rPr>
          <w:rFonts w:ascii="Arial" w:cs="Arial" w:eastAsia="Arial" w:hAnsi="Arial"/>
          <w:color w:val="1A1A1A"/>
          <w:sz w:val="22"/>
          <w:szCs w:val="22"/>
        </w:rPr>
        <w:t xml:space="preserve">State: Full list of US states (searchable)</w:t>
      </w:r>
    </w:p>
    <w:p>
      <w:pPr>
        <w:pStyle w:val="ListParagraph"/>
        <w:numPr>
          <w:ilvl w:val="0"/>
          <w:numId w:val="2"/>
        </w:numPr>
        <w:spacing w:after="60" w:before="60"/>
      </w:pPr>
      <w:r>
        <w:rPr>
          <w:rFonts w:ascii="Arial" w:cs="Arial" w:eastAsia="Arial" w:hAnsi="Arial"/>
          <w:color w:val="1A1A1A"/>
          <w:sz w:val="22"/>
          <w:szCs w:val="22"/>
        </w:rPr>
        <w:t xml:space="preserve">Year: 2014, 2015, 2016, 2017 (multi-select checkboxes)</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4.2 City-level Table</w:t>
      </w:r>
    </w:p>
    <w:p>
      <w:pPr>
        <w:spacing w:after="160" w:before="80"/>
      </w:pPr>
      <w:r>
        <w:rPr>
          <w:rFonts w:ascii="Arial" w:cs="Arial" w:eastAsia="Arial" w:hAnsi="Arial"/>
          <w:b w:val="false"/>
          <w:bCs w:val="false"/>
          <w:color w:val="1A1A1A"/>
          <w:sz w:val="22"/>
          <w:szCs w:val="22"/>
        </w:rPr>
        <w:t xml:space="preserve">A data table lists every city with its total quantity sold and total profit. A sample of notable cities: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City</w:t>
            </w:r>
          </w:p>
        </w:tc>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Quantity</w:t>
            </w:r>
          </w:p>
        </w:tc>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Profit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1A"/>
                <w:sz w:val="20"/>
                <w:szCs w:val="20"/>
              </w:rPr>
              <w:t xml:space="preserve">Anaheim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112</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$1,234.00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Albuquerque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65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$634.09</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1A"/>
                <w:sz w:val="20"/>
                <w:szCs w:val="20"/>
              </w:rPr>
              <w:t xml:space="preserve">Alexandria</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84</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$318.62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Akron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65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−$186.64</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1A"/>
                <w:sz w:val="20"/>
                <w:szCs w:val="20"/>
              </w:rPr>
              <w:t xml:space="preserve">Amarillo</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32</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−$387.97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Total (All Cities)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37,873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$286,397.02</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1F3A8A" w:sz="12"/>
              <w:bottom w:val="none" w:color="FFFFFF" w:sz="0"/>
              <w:right w:val="none" w:color="FFFFFF" w:sz="0"/>
            </w:tcBorders>
            <w:shd w:fill="EEF3FB" w:val="clear"/>
            <w:tcMar>
              <w:top w:type="dxa" w:w="80"/>
              <w:left w:type="dxa" w:w="200"/>
              <w:bottom w:type="dxa" w:w="80"/>
              <w:right w:type="dxa" w:w="120"/>
            </w:tcMar>
          </w:tcPr>
          <w:p>
            <w:r>
              <w:rPr>
                <w:rFonts w:ascii="Arial" w:cs="Arial" w:eastAsia="Arial" w:hAnsi="Arial"/>
                <w:color w:val="1A1A1A"/>
                <w:sz w:val="20"/>
                <w:szCs w:val="20"/>
              </w:rPr>
              <w:t xml:space="preserve">Insight: Several cities show negative profit (Amarillo, Akron, Allentown), indicating discounting or operational issues. These cities warrant pricing and logistics review.</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4.3 Sales by State and Category (Horizontal Bar Chart)</w:t>
      </w:r>
    </w:p>
    <w:p>
      <w:pPr>
        <w:spacing w:after="160" w:before="80"/>
      </w:pPr>
      <w:r>
        <w:rPr>
          <w:rFonts w:ascii="Arial" w:cs="Arial" w:eastAsia="Arial" w:hAnsi="Arial"/>
          <w:b w:val="false"/>
          <w:bCs w:val="false"/>
          <w:color w:val="1A1A1A"/>
          <w:sz w:val="22"/>
          <w:szCs w:val="22"/>
        </w:rPr>
        <w:t xml:space="preserve">Top-performing states by total sales across all three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State</w:t>
            </w:r>
          </w:p>
        </w:tc>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Highest Category</w:t>
            </w:r>
          </w:p>
        </w:tc>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Approx. Peak Sales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1A"/>
                <w:sz w:val="20"/>
                <w:szCs w:val="20"/>
              </w:rPr>
              <w:t xml:space="preserve">California</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Technology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$156K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New York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Technology / Office Supplies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$127K</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1A"/>
                <w:sz w:val="20"/>
                <w:szCs w:val="20"/>
              </w:rPr>
              <w:t xml:space="preserve">Texas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Office Supplies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$61K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Washington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Technology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$48K</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1A"/>
                <w:sz w:val="20"/>
                <w:szCs w:val="20"/>
              </w:rPr>
              <w:t xml:space="preserve">Pennsylvania</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Office Supplies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$39K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Florida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Office Supplies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$23K</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1A"/>
                <w:sz w:val="20"/>
                <w:szCs w:val="20"/>
              </w:rPr>
              <w:t xml:space="preserve">Illinois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Office Supplies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$28K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Ohio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Office Supplies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$24K</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1A"/>
                <w:sz w:val="20"/>
                <w:szCs w:val="20"/>
              </w:rPr>
              <w:t xml:space="preserve">Michigan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Office Supplies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$22K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Virginia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Technology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$25K</w:t>
            </w:r>
          </w:p>
        </w:tc>
      </w:tr>
    </w:tbl>
    <w:p>
      <w:pPr>
        <w:spacing w:after="0" w:before="80"/>
      </w:pPr>
      <w:r>
        <w:t xml:space="preserve"/>
      </w:r>
    </w:p>
    <w:p>
      <w:pPr>
        <w:spacing w:after="160" w:before="80"/>
      </w:pPr>
      <w:r>
        <w:rPr>
          <w:rFonts w:ascii="Arial" w:cs="Arial" w:eastAsia="Arial" w:hAnsi="Arial"/>
          <w:b w:val="false"/>
          <w:bCs w:val="false"/>
          <w:color w:val="1A1A1A"/>
          <w:sz w:val="22"/>
          <w:szCs w:val="22"/>
        </w:rPr>
        <w:t xml:space="preserve">California and New York are by far the top two states, with California reaching $156K in Technology sales alone. These two states combined represent a disproportionate share of overall revenue.</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4.4 Profit by Year and Category (Area Chart)</w:t>
      </w:r>
    </w:p>
    <w:p>
      <w:pPr>
        <w:spacing w:after="160" w:before="80"/>
      </w:pPr>
      <w:r>
        <w:rPr>
          <w:rFonts w:ascii="Arial" w:cs="Arial" w:eastAsia="Arial" w:hAnsi="Arial"/>
          <w:b w:val="false"/>
          <w:bCs w:val="false"/>
          <w:color w:val="1A1A1A"/>
          <w:sz w:val="22"/>
          <w:szCs w:val="22"/>
        </w:rPr>
        <w:t xml:space="preserve">All three categories show year-over-year growth in profit from 2014 to 2017. Technology and Office Supplies lead, while Furniture remains relatively flat. The stacked area chart clearly illustrates that Technology profit accelerated significantly from 2016 to 2017.</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4.5 Sum of Sales by Segment (Horizontal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Segment</w:t>
            </w:r>
          </w:p>
        </w:tc>
        <w:tc>
          <w:tcPr>
            <w:tcW w:type="dxa" w:w="4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Sales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1A"/>
                <w:sz w:val="20"/>
                <w:szCs w:val="20"/>
              </w:rPr>
              <w:t xml:space="preserve">Consumer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$1.16M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Corporate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$0.71M</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1A"/>
                <w:sz w:val="20"/>
                <w:szCs w:val="20"/>
              </w:rPr>
              <w:t xml:space="preserve">Home Office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$0.43M</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4.6 Profit by Category and Sub-Category (Grouped Bar)</w:t>
      </w:r>
    </w:p>
    <w:p>
      <w:pPr>
        <w:spacing w:after="160" w:before="80"/>
      </w:pPr>
      <w:r>
        <w:rPr>
          <w:rFonts w:ascii="Arial" w:cs="Arial" w:eastAsia="Arial" w:hAnsi="Arial"/>
          <w:b w:val="false"/>
          <w:bCs w:val="false"/>
          <w:color w:val="1A1A1A"/>
          <w:sz w:val="22"/>
          <w:szCs w:val="22"/>
        </w:rPr>
        <w:t xml:space="preserve">Within Technology, Accessories and Copiers are the top profit-generating sub-categories. Within Office Supplies, Binders and Paper drive the most profit. In Furniture, Tables show significant negative profit, indicating a loss-making sub-category that requires pricing or sourcing correction.</w:t>
      </w:r>
    </w:p>
    <w:p>
      <w:r>
        <w:br w:type="page"/>
      </w:r>
    </w:p>
    <w:p>
      <w:pPr>
        <w:pStyle w:val="Heading1"/>
        <w:pBdr>
          <w:bottom w:val="single" w:color="2E75B6" w:sz="8" w:space="4"/>
        </w:pBdr>
        <w:spacing w:after="180" w:before="360"/>
      </w:pPr>
      <w:r>
        <w:rPr>
          <w:rFonts w:ascii="Arial" w:cs="Arial" w:eastAsia="Arial" w:hAnsi="Arial"/>
          <w:b/>
          <w:bCs/>
          <w:color w:val="1F3A8A"/>
          <w:sz w:val="32"/>
          <w:szCs w:val="32"/>
        </w:rPr>
        <w:t xml:space="preserve">5. Dashboard Page 3: Category &amp; Sub-Category Level Analysis</w:t>
      </w:r>
    </w:p>
    <w:p>
      <w:pPr>
        <w:spacing w:after="160" w:before="80"/>
      </w:pPr>
      <w:r>
        <w:rPr>
          <w:rFonts w:ascii="Arial" w:cs="Arial" w:eastAsia="Arial" w:hAnsi="Arial"/>
          <w:b w:val="false"/>
          <w:bCs w:val="false"/>
          <w:color w:val="1A1A1A"/>
          <w:sz w:val="22"/>
          <w:szCs w:val="22"/>
        </w:rPr>
        <w:t xml:space="preserve">This page provides product-level insights, allowing category managers and merchandising teams to evaluate performance at the most granular level available in the dataset.</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5.1 Interactive Filters</w:t>
      </w:r>
    </w:p>
    <w:p>
      <w:pPr>
        <w:pStyle w:val="ListParagraph"/>
        <w:numPr>
          <w:ilvl w:val="0"/>
          <w:numId w:val="2"/>
        </w:numPr>
        <w:spacing w:after="60" w:before="60"/>
      </w:pPr>
      <w:r>
        <w:rPr>
          <w:rFonts w:ascii="Arial" w:cs="Arial" w:eastAsia="Arial" w:hAnsi="Arial"/>
          <w:color w:val="1A1A1A"/>
          <w:sz w:val="22"/>
          <w:szCs w:val="22"/>
        </w:rPr>
        <w:t xml:space="preserve">Category: Furniture, Office Supplies, Technology</w:t>
      </w:r>
    </w:p>
    <w:p>
      <w:pPr>
        <w:pStyle w:val="ListParagraph"/>
        <w:numPr>
          <w:ilvl w:val="0"/>
          <w:numId w:val="2"/>
        </w:numPr>
        <w:spacing w:after="60" w:before="60"/>
      </w:pPr>
      <w:r>
        <w:rPr>
          <w:rFonts w:ascii="Arial" w:cs="Arial" w:eastAsia="Arial" w:hAnsi="Arial"/>
          <w:color w:val="1A1A1A"/>
          <w:sz w:val="22"/>
          <w:szCs w:val="22"/>
        </w:rPr>
        <w:t xml:space="preserve">Sub-Category: Accessories, Appliances, Art, Binders, etc. (searchable)</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5.2 Sales &amp; Profit by Region and Segment (Treemap)</w:t>
      </w:r>
    </w:p>
    <w:p>
      <w:pPr>
        <w:spacing w:after="160" w:before="80"/>
      </w:pPr>
      <w:r>
        <w:rPr>
          <w:rFonts w:ascii="Arial" w:cs="Arial" w:eastAsia="Arial" w:hAnsi="Arial"/>
          <w:b w:val="false"/>
          <w:bCs w:val="false"/>
          <w:color w:val="1A1A1A"/>
          <w:sz w:val="22"/>
          <w:szCs w:val="22"/>
        </w:rPr>
        <w:t xml:space="preserve">The treemap visually represents the size of each Region-Segment combination by sales. West-Consumer is the largest block, followed by East-Consumer. The Central and South regions are split across Corporate, Consumer, and Home Office segments. This visualization quickly reveals which combinations drive the most volume.</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5.3 Quantity, Sales &amp; Profit by Segment (Pie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Segment</w:t>
            </w:r>
          </w:p>
        </w:tc>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Quantity</w:t>
            </w:r>
          </w:p>
        </w:tc>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Share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1A"/>
                <w:sz w:val="20"/>
                <w:szCs w:val="20"/>
              </w:rPr>
              <w:t xml:space="preserve">Consumer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~20K units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51.54%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Corporate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~12K units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30.65%</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1A"/>
                <w:sz w:val="20"/>
                <w:szCs w:val="20"/>
              </w:rPr>
              <w:t xml:space="preserve">Home Office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~7K units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17.81%</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5.4 Sales, Quantity &amp; Profit by Sub-Category (Bubble Chart)</w:t>
      </w:r>
    </w:p>
    <w:p>
      <w:pPr>
        <w:spacing w:after="160" w:before="80"/>
      </w:pPr>
      <w:r>
        <w:rPr>
          <w:rFonts w:ascii="Arial" w:cs="Arial" w:eastAsia="Arial" w:hAnsi="Arial"/>
          <w:b w:val="false"/>
          <w:bCs w:val="false"/>
          <w:color w:val="1A1A1A"/>
          <w:sz w:val="22"/>
          <w:szCs w:val="22"/>
        </w:rPr>
        <w:t xml:space="preserve">The bubble chart plots sub-categories on axes of Sales (X) vs. Quantity (Y), with bubble size representing profit. Key observations:</w:t>
      </w:r>
    </w:p>
    <w:p>
      <w:pPr>
        <w:pStyle w:val="ListParagraph"/>
        <w:numPr>
          <w:ilvl w:val="0"/>
          <w:numId w:val="2"/>
        </w:numPr>
        <w:spacing w:after="60" w:before="60"/>
      </w:pPr>
      <w:r>
        <w:rPr>
          <w:rFonts w:ascii="Arial" w:cs="Arial" w:eastAsia="Arial" w:hAnsi="Arial"/>
          <w:color w:val="1A1A1A"/>
          <w:sz w:val="22"/>
          <w:szCs w:val="22"/>
        </w:rPr>
        <w:t xml:space="preserve">Binders have high quantity (~6K units) but modest sales (~$0.1M), suggesting low unit price.</w:t>
      </w:r>
    </w:p>
    <w:p>
      <w:pPr>
        <w:pStyle w:val="ListParagraph"/>
        <w:numPr>
          <w:ilvl w:val="0"/>
          <w:numId w:val="2"/>
        </w:numPr>
        <w:spacing w:after="60" w:before="60"/>
      </w:pPr>
      <w:r>
        <w:rPr>
          <w:rFonts w:ascii="Arial" w:cs="Arial" w:eastAsia="Arial" w:hAnsi="Arial"/>
          <w:color w:val="1A1A1A"/>
          <w:sz w:val="22"/>
          <w:szCs w:val="22"/>
        </w:rPr>
        <w:t xml:space="preserve">Chairs have high sales (~$0.3M) but moderate quantity, indicating higher unit prices.</w:t>
      </w:r>
    </w:p>
    <w:p>
      <w:pPr>
        <w:pStyle w:val="ListParagraph"/>
        <w:numPr>
          <w:ilvl w:val="0"/>
          <w:numId w:val="2"/>
        </w:numPr>
        <w:spacing w:after="60" w:before="60"/>
      </w:pPr>
      <w:r>
        <w:rPr>
          <w:rFonts w:ascii="Arial" w:cs="Arial" w:eastAsia="Arial" w:hAnsi="Arial"/>
          <w:color w:val="1A1A1A"/>
          <w:sz w:val="22"/>
          <w:szCs w:val="22"/>
        </w:rPr>
        <w:t xml:space="preserve">Tables show negative profit despite notable sales, making them a priority for cost review.</w:t>
      </w:r>
    </w:p>
    <w:p>
      <w:pPr>
        <w:pStyle w:val="ListParagraph"/>
        <w:numPr>
          <w:ilvl w:val="0"/>
          <w:numId w:val="2"/>
        </w:numPr>
        <w:spacing w:after="60" w:before="60"/>
      </w:pPr>
      <w:r>
        <w:rPr>
          <w:rFonts w:ascii="Arial" w:cs="Arial" w:eastAsia="Arial" w:hAnsi="Arial"/>
          <w:color w:val="1A1A1A"/>
          <w:sz w:val="22"/>
          <w:szCs w:val="22"/>
        </w:rPr>
        <w:t xml:space="preserve">Accessories and Copiers show strong profit relative to their volume.</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5.5 Profit by Year and Quarter — Line Charts</w:t>
      </w:r>
    </w:p>
    <w:p>
      <w:pPr>
        <w:spacing w:after="160" w:before="80"/>
      </w:pPr>
      <w:r>
        <w:rPr>
          <w:rFonts w:ascii="Arial" w:cs="Arial" w:eastAsia="Arial" w:hAnsi="Arial"/>
          <w:b w:val="false"/>
          <w:bCs w:val="false"/>
          <w:color w:val="1A1A1A"/>
          <w:sz w:val="22"/>
          <w:szCs w:val="22"/>
        </w:rPr>
        <w:t xml:space="preserve">Two line charts track profit and sales by quarter over the four years:</w:t>
      </w:r>
    </w:p>
    <w:p>
      <w:pPr>
        <w:pStyle w:val="ListParagraph"/>
        <w:numPr>
          <w:ilvl w:val="0"/>
          <w:numId w:val="2"/>
        </w:numPr>
        <w:spacing w:after="60" w:before="60"/>
      </w:pPr>
      <w:r>
        <w:rPr>
          <w:rFonts w:ascii="Arial" w:cs="Arial" w:eastAsia="Arial" w:hAnsi="Arial"/>
          <w:color w:val="1A1A1A"/>
          <w:sz w:val="22"/>
          <w:szCs w:val="22"/>
        </w:rPr>
        <w:t xml:space="preserve">Q4 consistently leads in both profit and sales, peaking in 2017.</w:t>
      </w:r>
    </w:p>
    <w:p>
      <w:pPr>
        <w:pStyle w:val="ListParagraph"/>
        <w:numPr>
          <w:ilvl w:val="0"/>
          <w:numId w:val="2"/>
        </w:numPr>
        <w:spacing w:after="60" w:before="60"/>
      </w:pPr>
      <w:r>
        <w:rPr>
          <w:rFonts w:ascii="Arial" w:cs="Arial" w:eastAsia="Arial" w:hAnsi="Arial"/>
          <w:color w:val="1A1A1A"/>
          <w:sz w:val="22"/>
          <w:szCs w:val="22"/>
        </w:rPr>
        <w:t xml:space="preserve">Q3 shows a notable surge in profit from 2016 onward.</w:t>
      </w:r>
    </w:p>
    <w:p>
      <w:pPr>
        <w:pStyle w:val="ListParagraph"/>
        <w:numPr>
          <w:ilvl w:val="0"/>
          <w:numId w:val="2"/>
        </w:numPr>
        <w:spacing w:after="60" w:before="60"/>
      </w:pPr>
      <w:r>
        <w:rPr>
          <w:rFonts w:ascii="Arial" w:cs="Arial" w:eastAsia="Arial" w:hAnsi="Arial"/>
          <w:color w:val="1A1A1A"/>
          <w:sz w:val="22"/>
          <w:szCs w:val="22"/>
        </w:rPr>
        <w:t xml:space="preserve">Q1 remains the weakest quarter each year across all segments.</w:t>
      </w:r>
    </w:p>
    <w:p>
      <w:pPr>
        <w:pStyle w:val="ListParagraph"/>
        <w:numPr>
          <w:ilvl w:val="0"/>
          <w:numId w:val="2"/>
        </w:numPr>
        <w:spacing w:after="60" w:before="60"/>
      </w:pPr>
      <w:r>
        <w:rPr>
          <w:rFonts w:ascii="Arial" w:cs="Arial" w:eastAsia="Arial" w:hAnsi="Arial"/>
          <w:color w:val="1A1A1A"/>
          <w:sz w:val="22"/>
          <w:szCs w:val="22"/>
        </w:rPr>
        <w:t xml:space="preserve">Sales by quarter in 2017: Q4 reached ~$0.3M, the highest quarterly figure recorded.</w:t>
      </w:r>
    </w:p>
    <w:p>
      <w:r>
        <w:br w:type="page"/>
      </w:r>
    </w:p>
    <w:p>
      <w:pPr>
        <w:pStyle w:val="Heading1"/>
        <w:pBdr>
          <w:bottom w:val="single" w:color="2E75B6" w:sz="8" w:space="4"/>
        </w:pBdr>
        <w:spacing w:after="180" w:before="360"/>
      </w:pPr>
      <w:r>
        <w:rPr>
          <w:rFonts w:ascii="Arial" w:cs="Arial" w:eastAsia="Arial" w:hAnsi="Arial"/>
          <w:b/>
          <w:bCs/>
          <w:color w:val="1F3A8A"/>
          <w:sz w:val="32"/>
          <w:szCs w:val="32"/>
        </w:rPr>
        <w:t xml:space="preserve">6. Key Business Insights &amp; Recommendations</w:t>
      </w:r>
    </w:p>
    <w:p>
      <w:pPr>
        <w:spacing w:after="0" w:before="60"/>
      </w:pPr>
      <w:r>
        <w:t xml:space="preserve"/>
      </w:r>
    </w:p>
    <w:p>
      <w:pPr>
        <w:pStyle w:val="Heading2"/>
        <w:spacing w:after="120" w:before="280"/>
      </w:pPr>
      <w:r>
        <w:rPr>
          <w:rFonts w:ascii="Arial" w:cs="Arial" w:eastAsia="Arial" w:hAnsi="Arial"/>
          <w:b/>
          <w:bCs/>
          <w:color w:val="2E75B6"/>
          <w:sz w:val="26"/>
          <w:szCs w:val="26"/>
        </w:rPr>
        <w:t xml:space="preserve">6.1 Revenue &amp; Profit Trends</w:t>
      </w:r>
    </w:p>
    <w:p>
      <w:pPr>
        <w:pStyle w:val="ListParagraph"/>
        <w:numPr>
          <w:ilvl w:val="0"/>
          <w:numId w:val="2"/>
        </w:numPr>
        <w:spacing w:after="60" w:before="60"/>
      </w:pPr>
      <w:r>
        <w:rPr>
          <w:rFonts w:ascii="Arial" w:cs="Arial" w:eastAsia="Arial" w:hAnsi="Arial"/>
          <w:color w:val="1A1A1A"/>
          <w:sz w:val="22"/>
          <w:szCs w:val="22"/>
        </w:rPr>
        <w:t xml:space="preserve">Revenue grew 52% from 2014 ($0.48M) to 2017 ($0.73M).</w:t>
      </w:r>
    </w:p>
    <w:p>
      <w:pPr>
        <w:pStyle w:val="ListParagraph"/>
        <w:numPr>
          <w:ilvl w:val="0"/>
          <w:numId w:val="2"/>
        </w:numPr>
        <w:spacing w:after="60" w:before="60"/>
      </w:pPr>
      <w:r>
        <w:rPr>
          <w:rFonts w:ascii="Arial" w:cs="Arial" w:eastAsia="Arial" w:hAnsi="Arial"/>
          <w:color w:val="1A1A1A"/>
          <w:sz w:val="22"/>
          <w:szCs w:val="22"/>
        </w:rPr>
        <w:t xml:space="preserve">Profit margin is approximately 12.4%, which is healthy for retail but has room to improve.</w:t>
      </w:r>
    </w:p>
    <w:p>
      <w:pPr>
        <w:pStyle w:val="ListParagraph"/>
        <w:numPr>
          <w:ilvl w:val="0"/>
          <w:numId w:val="2"/>
        </w:numPr>
        <w:spacing w:after="60" w:before="60"/>
      </w:pPr>
      <w:r>
        <w:rPr>
          <w:rFonts w:ascii="Arial" w:cs="Arial" w:eastAsia="Arial" w:hAnsi="Arial"/>
          <w:color w:val="1A1A1A"/>
          <w:sz w:val="22"/>
          <w:szCs w:val="22"/>
        </w:rPr>
        <w:t xml:space="preserve">2015 showed a slight revenue dip but sustained profit growth, suggesting cost optimization occurred.</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6.2 Segment Strategy</w:t>
      </w:r>
    </w:p>
    <w:p>
      <w:pPr>
        <w:pStyle w:val="ListParagraph"/>
        <w:numPr>
          <w:ilvl w:val="0"/>
          <w:numId w:val="2"/>
        </w:numPr>
        <w:spacing w:after="60" w:before="60"/>
      </w:pPr>
      <w:r>
        <w:rPr>
          <w:rFonts w:ascii="Arial" w:cs="Arial" w:eastAsia="Arial" w:hAnsi="Arial"/>
          <w:color w:val="1A1A1A"/>
          <w:sz w:val="22"/>
          <w:szCs w:val="22"/>
        </w:rPr>
        <w:t xml:space="preserve">Consumer segment dominates with 50.56% of sales. Retention programs and loyalty campaigns should prioritize this group.</w:t>
      </w:r>
    </w:p>
    <w:p>
      <w:pPr>
        <w:pStyle w:val="ListParagraph"/>
        <w:numPr>
          <w:ilvl w:val="0"/>
          <w:numId w:val="2"/>
        </w:numPr>
        <w:spacing w:after="60" w:before="60"/>
      </w:pPr>
      <w:r>
        <w:rPr>
          <w:rFonts w:ascii="Arial" w:cs="Arial" w:eastAsia="Arial" w:hAnsi="Arial"/>
          <w:color w:val="1A1A1A"/>
          <w:sz w:val="22"/>
          <w:szCs w:val="22"/>
        </w:rPr>
        <w:t xml:space="preserve">Corporate segment (30.74%) offers high potential for bulk order growth through B2B-focused pricing.</w:t>
      </w:r>
    </w:p>
    <w:p>
      <w:pPr>
        <w:pStyle w:val="ListParagraph"/>
        <w:numPr>
          <w:ilvl w:val="0"/>
          <w:numId w:val="2"/>
        </w:numPr>
        <w:spacing w:after="60" w:before="60"/>
      </w:pPr>
      <w:r>
        <w:rPr>
          <w:rFonts w:ascii="Arial" w:cs="Arial" w:eastAsia="Arial" w:hAnsi="Arial"/>
          <w:color w:val="1A1A1A"/>
          <w:sz w:val="22"/>
          <w:szCs w:val="22"/>
        </w:rPr>
        <w:t xml:space="preserve">Home Office (18.7%) is the smallest but fastest-growing segment in recent years, driven by remote work trends.</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6.3 Category Optimization</w:t>
      </w:r>
    </w:p>
    <w:p>
      <w:pPr>
        <w:pStyle w:val="ListParagraph"/>
        <w:numPr>
          <w:ilvl w:val="0"/>
          <w:numId w:val="2"/>
        </w:numPr>
        <w:spacing w:after="60" w:before="60"/>
      </w:pPr>
      <w:r>
        <w:rPr>
          <w:rFonts w:ascii="Arial" w:cs="Arial" w:eastAsia="Arial" w:hAnsi="Arial"/>
          <w:color w:val="1A1A1A"/>
          <w:sz w:val="22"/>
          <w:szCs w:val="22"/>
        </w:rPr>
        <w:t xml:space="preserve">Technology is the most profitable category (50.79% profit share) and should continue to receive investment in product range expansion.</w:t>
      </w:r>
    </w:p>
    <w:p>
      <w:pPr>
        <w:pStyle w:val="ListParagraph"/>
        <w:numPr>
          <w:ilvl w:val="0"/>
          <w:numId w:val="2"/>
        </w:numPr>
        <w:spacing w:after="60" w:before="60"/>
      </w:pPr>
      <w:r>
        <w:rPr>
          <w:rFonts w:ascii="Arial" w:cs="Arial" w:eastAsia="Arial" w:hAnsi="Arial"/>
          <w:color w:val="1A1A1A"/>
          <w:sz w:val="22"/>
          <w:szCs w:val="22"/>
        </w:rPr>
        <w:t xml:space="preserve">Office Supplies offer volume-driven profit and should focus on operational efficiency to maintain margins.</w:t>
      </w:r>
    </w:p>
    <w:p>
      <w:pPr>
        <w:pStyle w:val="ListParagraph"/>
        <w:numPr>
          <w:ilvl w:val="0"/>
          <w:numId w:val="2"/>
        </w:numPr>
        <w:spacing w:after="60" w:before="60"/>
      </w:pPr>
      <w:r>
        <w:rPr>
          <w:rFonts w:ascii="Arial" w:cs="Arial" w:eastAsia="Arial" w:hAnsi="Arial"/>
          <w:color w:val="1A1A1A"/>
          <w:sz w:val="22"/>
          <w:szCs w:val="22"/>
        </w:rPr>
        <w:t xml:space="preserve">Furniture underperforms significantly (6.44% profit share). Tables specifically generate losses and should be reviewed for pricing, discounting practices, or removal.</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6.4 Geographic Focus</w:t>
      </w:r>
    </w:p>
    <w:p>
      <w:pPr>
        <w:pStyle w:val="ListParagraph"/>
        <w:numPr>
          <w:ilvl w:val="0"/>
          <w:numId w:val="2"/>
        </w:numPr>
        <w:spacing w:after="60" w:before="60"/>
      </w:pPr>
      <w:r>
        <w:rPr>
          <w:rFonts w:ascii="Arial" w:cs="Arial" w:eastAsia="Arial" w:hAnsi="Arial"/>
          <w:color w:val="1A1A1A"/>
          <w:sz w:val="22"/>
          <w:szCs w:val="22"/>
        </w:rPr>
        <w:t xml:space="preserve">California and New York are top-performing states and should receive priority in sales and marketing resources.</w:t>
      </w:r>
    </w:p>
    <w:p>
      <w:pPr>
        <w:pStyle w:val="ListParagraph"/>
        <w:numPr>
          <w:ilvl w:val="0"/>
          <w:numId w:val="2"/>
        </w:numPr>
        <w:spacing w:after="60" w:before="60"/>
      </w:pPr>
      <w:r>
        <w:rPr>
          <w:rFonts w:ascii="Arial" w:cs="Arial" w:eastAsia="Arial" w:hAnsi="Arial"/>
          <w:color w:val="1A1A1A"/>
          <w:sz w:val="22"/>
          <w:szCs w:val="22"/>
        </w:rPr>
        <w:t xml:space="preserve">Several cities (Amarillo, Akron, Allentown) show negative profit. A city-level profitability audit is recommended.</w:t>
      </w:r>
    </w:p>
    <w:p>
      <w:pPr>
        <w:pStyle w:val="ListParagraph"/>
        <w:numPr>
          <w:ilvl w:val="0"/>
          <w:numId w:val="2"/>
        </w:numPr>
        <w:spacing w:after="60" w:before="60"/>
      </w:pPr>
      <w:r>
        <w:rPr>
          <w:rFonts w:ascii="Arial" w:cs="Arial" w:eastAsia="Arial" w:hAnsi="Arial"/>
          <w:color w:val="1A1A1A"/>
          <w:sz w:val="22"/>
          <w:szCs w:val="22"/>
        </w:rPr>
        <w:t xml:space="preserve">The West region leads in overall sales; the South region has growth potential based on current underperformance relative to market size.</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6.5 Seasonal Opportunities</w:t>
      </w:r>
    </w:p>
    <w:p>
      <w:pPr>
        <w:pStyle w:val="ListParagraph"/>
        <w:numPr>
          <w:ilvl w:val="0"/>
          <w:numId w:val="2"/>
        </w:numPr>
        <w:spacing w:after="60" w:before="60"/>
      </w:pPr>
      <w:r>
        <w:rPr>
          <w:rFonts w:ascii="Arial" w:cs="Arial" w:eastAsia="Arial" w:hAnsi="Arial"/>
          <w:color w:val="1A1A1A"/>
          <w:sz w:val="22"/>
          <w:szCs w:val="22"/>
        </w:rPr>
        <w:t xml:space="preserve">Q4 is consistently the strongest quarter across all years. Inventory planning and promotions should be front-loaded in Q3 to capitalize on Q4 demand.</w:t>
      </w:r>
    </w:p>
    <w:p>
      <w:pPr>
        <w:pStyle w:val="ListParagraph"/>
        <w:numPr>
          <w:ilvl w:val="0"/>
          <w:numId w:val="2"/>
        </w:numPr>
        <w:spacing w:after="60" w:before="60"/>
      </w:pPr>
      <w:r>
        <w:rPr>
          <w:rFonts w:ascii="Arial" w:cs="Arial" w:eastAsia="Arial" w:hAnsi="Arial"/>
          <w:color w:val="1A1A1A"/>
          <w:sz w:val="22"/>
          <w:szCs w:val="22"/>
        </w:rPr>
        <w:t xml:space="preserve">Q1 weakness presents an opportunity for targeted discount campaigns or product launches to stimulate early-year demand.</w:t>
      </w:r>
    </w:p>
    <w:p>
      <w:r>
        <w:br w:type="page"/>
      </w:r>
    </w:p>
    <w:p>
      <w:pPr>
        <w:pStyle w:val="Heading1"/>
        <w:pBdr>
          <w:bottom w:val="single" w:color="2E75B6" w:sz="8" w:space="4"/>
        </w:pBdr>
        <w:spacing w:after="180" w:before="360"/>
      </w:pPr>
      <w:r>
        <w:rPr>
          <w:rFonts w:ascii="Arial" w:cs="Arial" w:eastAsia="Arial" w:hAnsi="Arial"/>
          <w:b/>
          <w:bCs/>
          <w:color w:val="1F3A8A"/>
          <w:sz w:val="32"/>
          <w:szCs w:val="32"/>
        </w:rPr>
        <w:t xml:space="preserve">7. Technical Notes</w:t>
      </w:r>
    </w:p>
    <w:p>
      <w:pPr>
        <w:spacing w:after="0" w:before="60"/>
      </w:pPr>
      <w:r>
        <w:t xml:space="preserve"/>
      </w:r>
    </w:p>
    <w:p>
      <w:pPr>
        <w:pStyle w:val="Heading2"/>
        <w:spacing w:after="120" w:before="280"/>
      </w:pPr>
      <w:r>
        <w:rPr>
          <w:rFonts w:ascii="Arial" w:cs="Arial" w:eastAsia="Arial" w:hAnsi="Arial"/>
          <w:b/>
          <w:bCs/>
          <w:color w:val="2E75B6"/>
          <w:sz w:val="26"/>
          <w:szCs w:val="26"/>
        </w:rPr>
        <w:t xml:space="preserve">7.1 Tool &amp;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1A"/>
                <w:sz w:val="20"/>
                <w:szCs w:val="20"/>
              </w:rPr>
              <w:t xml:space="preserve">Tool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Microsoft Power BI Desktop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File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superstore_sales_insight.pbix</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1A"/>
                <w:sz w:val="20"/>
                <w:szCs w:val="20"/>
              </w:rPr>
              <w:t xml:space="preserve">Last Saved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April 17, 2026 at 6:35 PM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Pages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3 (Sales Dashboard, Region &amp; State Analysis, Category &amp; Sub-Category Analysis)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1A"/>
                <w:sz w:val="20"/>
                <w:szCs w:val="20"/>
              </w:rPr>
              <w:t xml:space="preserve">Data Source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Superstore dataset (Excel workbook)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Map Visualization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Microsoft Bing Maps integration (ArcGIS / TomTom)</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7.2 Calculated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Logic</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1A"/>
                <w:sz w:val="20"/>
                <w:szCs w:val="20"/>
              </w:rPr>
              <w:t xml:space="preserve">days for shipment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Ship Date − Order Date (duration in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day of week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Extracted from Order Date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1A"/>
                <w:sz w:val="20"/>
                <w:szCs w:val="20"/>
              </w:rPr>
              <w:t xml:space="preserve">Weekday/Weekend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1A"/>
                <w:sz w:val="20"/>
                <w:szCs w:val="20"/>
              </w:rPr>
              <w:t xml:space="preserve">Conditional flag based on day of week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Ord Year / Ord Month / Ord Day / Quarter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Date hierarchy extracted from Order Date</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7.3 Data Quality Observations</w:t>
      </w:r>
    </w:p>
    <w:p>
      <w:pPr>
        <w:pStyle w:val="ListParagraph"/>
        <w:numPr>
          <w:ilvl w:val="0"/>
          <w:numId w:val="2"/>
        </w:numPr>
        <w:spacing w:after="60" w:before="60"/>
      </w:pPr>
      <w:r>
        <w:rPr>
          <w:rFonts w:ascii="Arial" w:cs="Arial" w:eastAsia="Arial" w:hAnsi="Arial"/>
          <w:color w:val="1A1A1A"/>
          <w:sz w:val="22"/>
          <w:szCs w:val="22"/>
        </w:rPr>
        <w:t xml:space="preserve">All 37,873 records resolved to a total profit of $286,397.02, consistent across all pages.</w:t>
      </w:r>
    </w:p>
    <w:p>
      <w:pPr>
        <w:pStyle w:val="ListParagraph"/>
        <w:numPr>
          <w:ilvl w:val="0"/>
          <w:numId w:val="2"/>
        </w:numPr>
        <w:spacing w:after="60" w:before="60"/>
      </w:pPr>
      <w:r>
        <w:rPr>
          <w:rFonts w:ascii="Arial" w:cs="Arial" w:eastAsia="Arial" w:hAnsi="Arial"/>
          <w:color w:val="1A1A1A"/>
          <w:sz w:val="22"/>
          <w:szCs w:val="22"/>
        </w:rPr>
        <w:t xml:space="preserve">Negative profit cities suggest data is capturing discounted or loss-leader orders accurately.</w:t>
      </w:r>
    </w:p>
    <w:p>
      <w:pPr>
        <w:pStyle w:val="ListParagraph"/>
        <w:numPr>
          <w:ilvl w:val="0"/>
          <w:numId w:val="2"/>
        </w:numPr>
        <w:spacing w:after="60" w:before="60"/>
      </w:pPr>
      <w:r>
        <w:rPr>
          <w:rFonts w:ascii="Arial" w:cs="Arial" w:eastAsia="Arial" w:hAnsi="Arial"/>
          <w:color w:val="1A1A1A"/>
          <w:sz w:val="22"/>
          <w:szCs w:val="22"/>
        </w:rPr>
        <w:t xml:space="preserve">No missing values were observed in key fields (Sales, Profit, Category, Segment, Region).</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A8A" w:val="clear"/>
            <w:tcMar>
              <w:top w:type="dxa" w:w="200"/>
              <w:left w:type="dxa" w:w="300"/>
              <w:bottom w:type="dxa" w:w="200"/>
              <w:right w:type="dxa" w:w="300"/>
            </w:tcMar>
          </w:tcPr>
          <w:p>
            <w:pPr>
              <w:jc w:val="center"/>
            </w:pPr>
            <w:r>
              <w:rPr>
                <w:rFonts w:ascii="Arial" w:cs="Arial" w:eastAsia="Arial" w:hAnsi="Arial"/>
                <w:b/>
                <w:bCs/>
                <w:color w:val="FFFFFF"/>
                <w:sz w:val="28"/>
                <w:szCs w:val="28"/>
              </w:rPr>
              <w:t xml:space="preserve">End of Report</w:t>
            </w:r>
          </w:p>
          <w:p>
            <w:pPr>
              <w:spacing w:before="80"/>
              <w:jc w:val="center"/>
            </w:pPr>
            <w:r>
              <w:rPr>
                <w:rFonts w:ascii="Arial" w:cs="Arial" w:eastAsia="Arial" w:hAnsi="Arial"/>
                <w:i/>
                <w:iCs/>
                <w:color w:val="AACCFF"/>
                <w:sz w:val="20"/>
                <w:szCs w:val="20"/>
              </w:rPr>
              <w:t xml:space="preserve">Superstore Sales Insight — Power BI Analytics | April 2026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spacing w:before="80"/>
    </w:pPr>
    <w:r>
      <w:rPr>
        <w:rFonts w:ascii="Arial" w:cs="Arial" w:eastAsia="Arial" w:hAnsi="Arial"/>
        <w:color w:val="888888"/>
        <w:sz w:val="18"/>
        <w:szCs w:val="18"/>
      </w:rPr>
      <w:t xml:space="preserve">Confidential | Superstore Sales Insight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1F3A8A" w:val="clear"/>
          <w:tcMar>
            <w:top w:type="dxa" w:w="100"/>
            <w:left w:type="dxa" w:w="200"/>
            <w:bottom w:type="dxa" w:w="100"/>
            <w:right w:type="dxa" w:w="120"/>
          </w:tcMar>
        </w:tcPr>
        <w:p>
          <w:r>
            <w:rPr>
              <w:rFonts w:ascii="Arial" w:cs="Arial" w:eastAsia="Arial" w:hAnsi="Arial"/>
              <w:b/>
              <w:bCs/>
              <w:color w:val="FFFFFF"/>
              <w:sz w:val="24"/>
              <w:szCs w:val="24"/>
            </w:rPr>
            <w:t xml:space="preserve">Superstore Sales Insight</w:t>
          </w:r>
        </w:p>
      </w:tc>
      <w:tc>
        <w:tcPr>
          <w:tcW w:type="dxa" w:w="3360"/>
          <w:tcBorders>
            <w:top w:val="none" w:color="FFFFFF" w:sz="0"/>
            <w:left w:val="none" w:color="FFFFFF" w:sz="0"/>
            <w:bottom w:val="none" w:color="FFFFFF" w:sz="0"/>
            <w:right w:val="none" w:color="FFFFFF" w:sz="0"/>
          </w:tcBorders>
          <w:shd w:fill="1F3A8A" w:val="clear"/>
          <w:tcMar>
            <w:top w:type="dxa" w:w="100"/>
            <w:left w:type="dxa" w:w="120"/>
            <w:bottom w:type="dxa" w:w="100"/>
            <w:right w:type="dxa" w:w="200"/>
          </w:tcMar>
        </w:tcPr>
        <w:p>
          <w:pPr>
            <w:jc w:val="right"/>
          </w:pPr>
          <w:r>
            <w:rPr>
              <w:rFonts w:ascii="Arial" w:cs="Arial" w:eastAsia="Arial" w:hAnsi="Arial"/>
              <w:color w:val="AACCFF"/>
              <w:sz w:val="18"/>
              <w:szCs w:val="18"/>
            </w:rPr>
            <w:t xml:space="preserve">Power BI Analytics Report  |  2014-2017</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8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2026-04-19T12:48:09.474Z</dcterms:created>
  <dcterms:modified xsi:type="dcterms:W3CDTF">2026-04-19T12:48:09.476Z</dcterms:modified>
</cp:coreProperties>
</file>

<file path=docProps/custom.xml><?xml version="1.0" encoding="utf-8"?>
<Properties xmlns="http://schemas.openxmlformats.org/officeDocument/2006/custom-properties" xmlns:vt="http://schemas.openxmlformats.org/officeDocument/2006/docPropsVTypes"/>
</file>