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C2D"/>
          <w:sz w:val="32"/>
        </w:rPr>
        <w:t>WILLS FARMS LTD.</w:t>
      </w:r>
    </w:p>
    <w:p>
      <w:pPr>
        <w:jc w:val="center"/>
      </w:pPr>
      <w:r>
        <w:rPr>
          <w:b/>
          <w:sz w:val="26"/>
        </w:rPr>
        <w:t>Promotion Readiness Assessment</w:t>
      </w:r>
    </w:p>
    <w:p>
      <w:pPr>
        <w:jc w:val="center"/>
      </w:pPr>
      <w:r>
        <w:rPr>
          <w:sz w:val="24"/>
        </w:rPr>
        <w:t>Assistant Farm Manager – Breeding (L5)  →  Breeding Farm Manager (L6)</w:t>
      </w:r>
    </w:p>
    <w:p>
      <w:pPr>
        <w:jc w:val="center"/>
      </w:pPr>
      <w:r>
        <w:rPr>
          <w:i/>
          <w:sz w:val="18"/>
        </w:rPr>
        <w:t>Aligned to Breeding Operations HR Manual v2.1 — Section 13 Promotion Framework and Part III Promotion Assessment Form</w:t>
      </w:r>
    </w:p>
    <w:tbl>
      <w:tblPr>
        <w:tblStyle w:val="TableGrid"/>
        <w:tblW w:type="auto" w:w="0"/>
        <w:jc w:val="center"/>
        <w:tblLayout w:type="fixed"/>
        <w:tblLook w:firstColumn="1" w:firstRow="1" w:lastColumn="0" w:lastRow="0" w:noHBand="0" w:noVBand="1" w:val="04A0"/>
        <w:tblLayout w:type="fixed"/>
      </w:tblPr>
      <w:tblGrid>
        <w:gridCol w:w="2608"/>
        <w:gridCol w:w="2211"/>
        <w:gridCol w:w="2608"/>
        <w:gridCol w:w="2211"/>
      </w:tblGrid>
      <w:tr>
        <w:tc>
          <w:tcPr>
            <w:tcW w:type="dxa" w:w="2608"/>
          </w:tcPr>
          <w:p>
            <w:r/>
            <w:r>
              <w:rPr>
                <w:b w:val="0"/>
                <w:i w:val="0"/>
                <w:sz w:val="20"/>
              </w:rPr>
              <w:t>Employee Name:</w:t>
            </w:r>
          </w:p>
        </w:tc>
        <w:tc>
          <w:tcPr>
            <w:tcW w:type="dxa" w:w="2211"/>
          </w:tcPr>
          <w:p>
            <w:r/>
            <w:r>
              <w:rPr>
                <w:b w:val="0"/>
                <w:i w:val="0"/>
                <w:sz w:val="20"/>
              </w:rPr>
            </w:r>
          </w:p>
        </w:tc>
        <w:tc>
          <w:tcPr>
            <w:tcW w:type="dxa" w:w="2608"/>
          </w:tcPr>
          <w:p>
            <w:r/>
            <w:r>
              <w:rPr>
                <w:b w:val="0"/>
                <w:i w:val="0"/>
                <w:sz w:val="20"/>
              </w:rPr>
              <w:t>Staff No.:</w:t>
            </w:r>
          </w:p>
        </w:tc>
        <w:tc>
          <w:tcPr>
            <w:tcW w:type="dxa" w:w="2211"/>
          </w:tcPr>
          <w:p>
            <w:r/>
            <w:r>
              <w:rPr>
                <w:b w:val="0"/>
                <w:i w:val="0"/>
                <w:sz w:val="20"/>
              </w:rPr>
            </w:r>
          </w:p>
        </w:tc>
      </w:tr>
      <w:tr>
        <w:tc>
          <w:tcPr>
            <w:tcW w:type="dxa" w:w="2608"/>
          </w:tcPr>
          <w:p>
            <w:r/>
            <w:r>
              <w:rPr>
                <w:b w:val="0"/>
                <w:i w:val="0"/>
                <w:sz w:val="20"/>
              </w:rPr>
              <w:t>Current Grade / Title:</w:t>
            </w:r>
          </w:p>
        </w:tc>
        <w:tc>
          <w:tcPr>
            <w:tcW w:type="dxa" w:w="2211"/>
          </w:tcPr>
          <w:p>
            <w:r/>
            <w:r>
              <w:rPr>
                <w:b w:val="0"/>
                <w:i w:val="0"/>
                <w:sz w:val="20"/>
              </w:rPr>
              <w:t>Assistant Farm Manager – Breeding (L5)</w:t>
            </w:r>
          </w:p>
        </w:tc>
        <w:tc>
          <w:tcPr>
            <w:tcW w:type="dxa" w:w="2608"/>
          </w:tcPr>
          <w:p>
            <w:r/>
            <w:r>
              <w:rPr>
                <w:b w:val="0"/>
                <w:i w:val="0"/>
                <w:sz w:val="20"/>
              </w:rPr>
              <w:t>Proposed Grade / Title:</w:t>
            </w:r>
          </w:p>
        </w:tc>
        <w:tc>
          <w:tcPr>
            <w:tcW w:type="dxa" w:w="2211"/>
          </w:tcPr>
          <w:p>
            <w:r/>
            <w:r>
              <w:rPr>
                <w:b w:val="0"/>
                <w:i w:val="0"/>
                <w:sz w:val="20"/>
              </w:rPr>
              <w:t>Breeding Farm Manager (L6)</w:t>
            </w:r>
          </w:p>
        </w:tc>
      </w:tr>
      <w:tr>
        <w:tc>
          <w:tcPr>
            <w:tcW w:type="dxa" w:w="2608"/>
          </w:tcPr>
          <w:p>
            <w:r/>
            <w:r>
              <w:rPr>
                <w:b w:val="0"/>
                <w:i w:val="0"/>
                <w:sz w:val="20"/>
              </w:rPr>
              <w:t>Section / Unit:</w:t>
            </w:r>
          </w:p>
        </w:tc>
        <w:tc>
          <w:tcPr>
            <w:tcW w:type="dxa" w:w="2211"/>
          </w:tcPr>
          <w:p>
            <w:r/>
            <w:r>
              <w:rPr>
                <w:b w:val="0"/>
                <w:i w:val="0"/>
                <w:sz w:val="20"/>
              </w:rPr>
            </w:r>
          </w:p>
        </w:tc>
        <w:tc>
          <w:tcPr>
            <w:tcW w:type="dxa" w:w="2608"/>
          </w:tcPr>
          <w:p>
            <w:r/>
            <w:r>
              <w:rPr>
                <w:b w:val="0"/>
                <w:i w:val="0"/>
                <w:sz w:val="20"/>
              </w:rPr>
              <w:t>Time in Current Role:</w:t>
            </w:r>
          </w:p>
        </w:tc>
        <w:tc>
          <w:tcPr>
            <w:tcW w:type="dxa" w:w="2211"/>
          </w:tcPr>
          <w:p>
            <w:r/>
            <w:r>
              <w:rPr>
                <w:b w:val="0"/>
                <w:i w:val="0"/>
                <w:sz w:val="20"/>
              </w:rPr>
            </w:r>
          </w:p>
        </w:tc>
      </w:tr>
      <w:tr>
        <w:tc>
          <w:tcPr>
            <w:tcW w:type="dxa" w:w="2608"/>
          </w:tcPr>
          <w:p>
            <w:r/>
            <w:r>
              <w:rPr>
                <w:b w:val="0"/>
                <w:i w:val="0"/>
                <w:sz w:val="20"/>
              </w:rPr>
              <w:t>Tier Authorisation Held (GP / PS / external GGP semen):</w:t>
            </w:r>
          </w:p>
        </w:tc>
        <w:tc>
          <w:tcPr>
            <w:tcW w:type="dxa" w:w="2211"/>
          </w:tcPr>
          <w:p>
            <w:r/>
            <w:r>
              <w:rPr>
                <w:b w:val="0"/>
                <w:i w:val="0"/>
                <w:sz w:val="20"/>
              </w:rPr>
            </w:r>
          </w:p>
        </w:tc>
        <w:tc>
          <w:tcPr>
            <w:tcW w:type="dxa" w:w="2608"/>
          </w:tcPr>
          <w:p>
            <w:r/>
            <w:r>
              <w:rPr>
                <w:b w:val="0"/>
                <w:i w:val="0"/>
                <w:sz w:val="20"/>
              </w:rPr>
              <w:t>Date of Assessment:</w:t>
            </w:r>
          </w:p>
        </w:tc>
        <w:tc>
          <w:tcPr>
            <w:tcW w:type="dxa" w:w="2211"/>
          </w:tcPr>
          <w:p>
            <w:r/>
            <w:r>
              <w:rPr>
                <w:b w:val="0"/>
                <w:i w:val="0"/>
                <w:sz w:val="20"/>
              </w:rPr>
            </w:r>
          </w:p>
        </w:tc>
      </w:tr>
      <w:tr>
        <w:tc>
          <w:tcPr>
            <w:tcW w:type="dxa" w:w="2608"/>
          </w:tcPr>
          <w:p>
            <w:r/>
            <w:r>
              <w:rPr>
                <w:b w:val="0"/>
                <w:i w:val="0"/>
                <w:sz w:val="20"/>
              </w:rPr>
              <w:t>Immediate Supervisor:</w:t>
            </w:r>
          </w:p>
        </w:tc>
        <w:tc>
          <w:tcPr>
            <w:tcW w:type="dxa" w:w="2211"/>
          </w:tcPr>
          <w:p>
            <w:r/>
            <w:r>
              <w:rPr>
                <w:b w:val="0"/>
                <w:i w:val="0"/>
                <w:sz w:val="20"/>
              </w:rPr>
            </w:r>
          </w:p>
        </w:tc>
        <w:tc>
          <w:tcPr>
            <w:tcW w:type="dxa" w:w="2608"/>
          </w:tcPr>
          <w:p>
            <w:r/>
            <w:r>
              <w:rPr>
                <w:b w:val="0"/>
                <w:i w:val="0"/>
                <w:sz w:val="20"/>
              </w:rPr>
              <w:t>Reviewing Manager:</w:t>
            </w:r>
          </w:p>
        </w:tc>
        <w:tc>
          <w:tcPr>
            <w:tcW w:type="dxa" w:w="2211"/>
          </w:tcPr>
          <w:p>
            <w:r/>
            <w:r>
              <w:rPr>
                <w:b w:val="0"/>
                <w:i w:val="0"/>
                <w:sz w:val="20"/>
              </w:rPr>
            </w:r>
          </w:p>
        </w:tc>
      </w:tr>
      <w:tr>
        <w:tc>
          <w:tcPr>
            <w:tcW w:type="dxa" w:w="2608"/>
          </w:tcPr>
          <w:p>
            <w:r/>
            <w:r>
              <w:rPr>
                <w:b w:val="0"/>
                <w:i w:val="0"/>
                <w:sz w:val="20"/>
              </w:rPr>
              <w:t>Triggering Review (Quarter / Year of “Ready for promotion assessment”):</w:t>
            </w:r>
          </w:p>
        </w:tc>
        <w:tc>
          <w:tcPr>
            <w:tcW w:type="dxa" w:w="2211"/>
          </w:tcPr>
          <w:p>
            <w:r/>
            <w:r>
              <w:rPr>
                <w:b w:val="0"/>
                <w:i w:val="0"/>
                <w:sz w:val="20"/>
              </w:rPr>
            </w:r>
          </w:p>
        </w:tc>
        <w:tc>
          <w:tcPr>
            <w:tcW w:type="dxa" w:w="2608"/>
          </w:tcPr>
          <w:p>
            <w:r/>
            <w:r>
              <w:rPr>
                <w:b w:val="0"/>
                <w:i w:val="0"/>
                <w:sz w:val="20"/>
              </w:rPr>
              <w:t>Business need / vacancy confirmed:</w:t>
            </w:r>
          </w:p>
        </w:tc>
        <w:tc>
          <w:tcPr>
            <w:tcW w:type="dxa" w:w="2211"/>
          </w:tcPr>
          <w:p>
            <w:r/>
            <w:r>
              <w:rPr>
                <w:b w:val="0"/>
                <w:i w:val="0"/>
                <w:sz w:val="20"/>
              </w:rPr>
            </w:r>
          </w:p>
        </w:tc>
      </w:tr>
    </w:tbl>
    <w:p>
      <w:pPr>
        <w:spacing w:before="200" w:after="80"/>
      </w:pPr>
      <w:r>
        <w:rPr>
          <w:b/>
          <w:color w:val="1F5C2D"/>
          <w:sz w:val="24"/>
        </w:rPr>
        <w:t>How to Use This Form</w:t>
      </w:r>
    </w:p>
    <w:p>
      <w:pPr>
        <w:spacing w:after="80"/>
      </w:pPr>
      <w:r>
        <w:rPr>
          <w:b w:val="0"/>
          <w:i w:val="0"/>
          <w:sz w:val="21"/>
        </w:rPr>
        <w:t>This form assesses whether an L5 is ready for full functional management of the multiplication farm as L6 Breeding Farm Manager — staffing, operational planning, reproductive-KPI delivery, genetic-tier integrity, productivity improvement, budget and resource control, and development of supervisors and technicians. The step is from supporting the manager to being the manager who owns whether the farm hits its numbers and protects the genetics.</w:t>
      </w:r>
    </w:p>
    <w:p>
      <w:pPr>
        <w:spacing w:after="80"/>
      </w:pPr>
      <w:r>
        <w:rPr>
          <w:b w:val="0"/>
          <w:i w:val="0"/>
          <w:sz w:val="21"/>
        </w:rPr>
        <w:t>The L6 threshold is strong farm-level leadership, KPI delivery, and reporting quality, on the Bachelor's base with a PG Diploma in Management / MSc / MBA preferred. With the farm scaling from 52 to 200 GP sows, the candidate must show they can protect standards through growth. Confirm the qualification position in Section A.</w:t>
      </w:r>
    </w:p>
    <w:p>
      <w:pPr>
        <w:spacing w:after="80"/>
      </w:pPr>
      <w:r>
        <w:rPr>
          <w:b w:val="0"/>
          <w:i w:val="0"/>
          <w:sz w:val="21"/>
        </w:rPr>
        <w:t>Complete Sections A and B from the record; Section C verifies farm-management readiness including budget and genetic-tier stewardship; Section D tests leadership, financial, and integrity judgement through a short case. Rating scale 1–5. Panel: Operations/Production Manager or CEO as chair, with the Veterinarian and an HR/finance representative. Do not promote on interview alone — confirm the track record.</w:t>
      </w:r>
    </w:p>
    <w:p>
      <w:pPr>
        <w:spacing w:before="200" w:after="80"/>
      </w:pPr>
      <w:r>
        <w:rPr>
          <w:b/>
          <w:color w:val="1F5C2D"/>
          <w:sz w:val="24"/>
        </w:rPr>
        <w:t>Section A — Minimum Eligibility Gate (Pass/Fail)</w:t>
      </w:r>
    </w:p>
    <w:p>
      <w:pPr>
        <w:spacing w:after="80"/>
      </w:pPr>
      <w:r>
        <w:rPr>
          <w:b w:val="0"/>
          <w:i/>
          <w:sz w:val="19"/>
        </w:rPr>
        <w:t>Complete from documented records before any interview. Any “No” pauses the promotion until resolved. The disqualifying factors below (Section 13.2) are absolute — any one bars promotion this cycle regardless of other scores.</w:t>
      </w:r>
    </w:p>
    <w:tbl>
      <w:tblPr>
        <w:tblStyle w:val="TableGrid"/>
        <w:tblW w:type="auto" w:w="0"/>
        <w:jc w:val="center"/>
        <w:tblLayout w:type="fixed"/>
        <w:tblLook w:firstColumn="1" w:firstRow="1" w:lastColumn="0" w:lastRow="0" w:noHBand="0" w:noVBand="1" w:val="04A0"/>
        <w:tblLayout w:type="fixed"/>
      </w:tblPr>
      <w:tblGrid>
        <w:gridCol w:w="453"/>
        <w:gridCol w:w="5499"/>
        <w:gridCol w:w="623"/>
        <w:gridCol w:w="623"/>
        <w:gridCol w:w="2438"/>
      </w:tblGrid>
      <w:tr>
        <w:tc>
          <w:tcPr>
            <w:tcW w:type="dxa" w:w="454"/>
            <w:shd w:val="clear" w:fill="D9E5DC"/>
          </w:tcPr>
          <w:p>
            <w:r/>
            <w:r>
              <w:rPr>
                <w:b/>
                <w:i w:val="0"/>
                <w:sz w:val="20"/>
              </w:rPr>
              <w:t>#</w:t>
            </w:r>
          </w:p>
        </w:tc>
        <w:tc>
          <w:tcPr>
            <w:tcW w:type="dxa" w:w="5499"/>
            <w:shd w:val="clear" w:fill="D9E5DC"/>
          </w:tcPr>
          <w:p>
            <w:r/>
            <w:r>
              <w:rPr>
                <w:b/>
                <w:i w:val="0"/>
                <w:sz w:val="20"/>
              </w:rPr>
              <w:t>Eligibility Requirement (Section 13.1 / Part III)</w:t>
            </w:r>
          </w:p>
        </w:tc>
        <w:tc>
          <w:tcPr>
            <w:tcW w:type="dxa" w:w="624"/>
            <w:shd w:val="clear" w:fill="D9E5DC"/>
          </w:tcPr>
          <w:p>
            <w:r/>
            <w:r>
              <w:rPr>
                <w:b/>
                <w:i w:val="0"/>
                <w:sz w:val="20"/>
              </w:rPr>
              <w:t>Yes</w:t>
            </w:r>
          </w:p>
        </w:tc>
        <w:tc>
          <w:tcPr>
            <w:tcW w:type="dxa" w:w="624"/>
            <w:shd w:val="clear" w:fill="D9E5DC"/>
          </w:tcPr>
          <w:p>
            <w:r/>
            <w:r>
              <w:rPr>
                <w:b/>
                <w:i w:val="0"/>
                <w:sz w:val="20"/>
              </w:rPr>
              <w:t>No</w:t>
            </w:r>
          </w:p>
        </w:tc>
        <w:tc>
          <w:tcPr>
            <w:tcW w:type="dxa" w:w="2438"/>
            <w:shd w:val="clear" w:fill="D9E5DC"/>
          </w:tcPr>
          <w:p>
            <w:r/>
            <w:r>
              <w:rPr>
                <w:b/>
                <w:i w:val="0"/>
                <w:sz w:val="20"/>
              </w:rPr>
              <w:t>Evidence / Comments</w:t>
            </w:r>
          </w:p>
        </w:tc>
      </w:tr>
      <w:tr>
        <w:tc>
          <w:tcPr>
            <w:tcW w:type="dxa" w:w="454"/>
          </w:tcPr>
          <w:p>
            <w:r/>
            <w:r>
              <w:rPr>
                <w:b w:val="0"/>
                <w:i w:val="0"/>
                <w:sz w:val="20"/>
              </w:rPr>
              <w:t>A1</w:t>
            </w:r>
          </w:p>
        </w:tc>
        <w:tc>
          <w:tcPr>
            <w:tcW w:type="dxa" w:w="5499"/>
          </w:tcPr>
          <w:p>
            <w:r/>
            <w:r>
              <w:rPr>
                <w:b w:val="0"/>
                <w:i w:val="0"/>
                <w:sz w:val="20"/>
              </w:rPr>
              <w:t>Minimum expected time in current role completed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A2</w:t>
            </w:r>
          </w:p>
        </w:tc>
        <w:tc>
          <w:tcPr>
            <w:tcW w:type="dxa" w:w="5499"/>
          </w:tcPr>
          <w:p>
            <w:r/>
            <w:r>
              <w:rPr>
                <w:b w:val="0"/>
                <w:i w:val="0"/>
                <w:sz w:val="20"/>
              </w:rPr>
              <w:t>Attendance record satisfactory (from appraisals)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A3</w:t>
            </w:r>
          </w:p>
        </w:tc>
        <w:tc>
          <w:tcPr>
            <w:tcW w:type="dxa" w:w="5499"/>
          </w:tcPr>
          <w:p>
            <w:r/>
            <w:r>
              <w:rPr>
                <w:b w:val="0"/>
                <w:i w:val="0"/>
                <w:sz w:val="20"/>
              </w:rPr>
              <w:t>Conduct and discipline record satisfactory; no serious unresolved disciplinary issue</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A4</w:t>
            </w:r>
          </w:p>
        </w:tc>
        <w:tc>
          <w:tcPr>
            <w:tcW w:type="dxa" w:w="5499"/>
          </w:tcPr>
          <w:p>
            <w:r/>
            <w:r>
              <w:rPr>
                <w:b w:val="0"/>
                <w:i w:val="0"/>
                <w:sz w:val="20"/>
              </w:rPr>
              <w:t>No major biosecurity or tier-discipline breach on record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A5</w:t>
            </w:r>
          </w:p>
        </w:tc>
        <w:tc>
          <w:tcPr>
            <w:tcW w:type="dxa" w:w="5499"/>
          </w:tcPr>
          <w:p>
            <w:r/>
            <w:r>
              <w:rPr>
                <w:b w:val="0"/>
                <w:i w:val="0"/>
                <w:sz w:val="20"/>
              </w:rPr>
              <w:t>All four Quarterly Performance Reviews of the year attached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A6</w:t>
            </w:r>
          </w:p>
        </w:tc>
        <w:tc>
          <w:tcPr>
            <w:tcW w:type="dxa" w:w="5499"/>
          </w:tcPr>
          <w:p>
            <w:r/>
            <w:r>
              <w:rPr>
                <w:b w:val="0"/>
                <w:i w:val="0"/>
                <w:sz w:val="20"/>
              </w:rPr>
              <w:t>Annual Appraisal of the year attached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A7</w:t>
            </w:r>
          </w:p>
        </w:tc>
        <w:tc>
          <w:tcPr>
            <w:tcW w:type="dxa" w:w="5499"/>
          </w:tcPr>
          <w:p>
            <w:r/>
            <w:r>
              <w:rPr>
                <w:b w:val="0"/>
                <w:i w:val="0"/>
                <w:sz w:val="20"/>
              </w:rPr>
              <w:t>Holds the Bachelor's base; PG Diploma in Management / MSc / MBA preferred for senior farm management</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A8</w:t>
            </w:r>
          </w:p>
        </w:tc>
        <w:tc>
          <w:tcPr>
            <w:tcW w:type="dxa" w:w="5499"/>
          </w:tcPr>
          <w:p>
            <w:r/>
            <w:r>
              <w:rPr>
                <w:b w:val="0"/>
                <w:i w:val="0"/>
                <w:sz w:val="20"/>
              </w:rPr>
              <w:t>Demonstrated multi-section performance stability and gilt-pool adequacy as L5</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A9</w:t>
            </w:r>
          </w:p>
        </w:tc>
        <w:tc>
          <w:tcPr>
            <w:tcW w:type="dxa" w:w="5499"/>
          </w:tcPr>
          <w:p>
            <w:r/>
            <w:r>
              <w:rPr>
                <w:b w:val="0"/>
                <w:i w:val="0"/>
                <w:sz w:val="20"/>
              </w:rPr>
              <w:t>Evidence of budget / resource awareness and management reporting quality</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A10</w:t>
            </w:r>
          </w:p>
        </w:tc>
        <w:tc>
          <w:tcPr>
            <w:tcW w:type="dxa" w:w="5499"/>
          </w:tcPr>
          <w:p>
            <w:r/>
            <w:r>
              <w:rPr>
                <w:b w:val="0"/>
                <w:i w:val="0"/>
                <w:sz w:val="20"/>
              </w:rPr>
              <w:t>Consistent management integrity; no reporting-integrity concerns</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r>
        <w:tc>
          <w:tcPr>
            <w:tcW w:type="dxa" w:w="454"/>
          </w:tcPr>
          <w:p>
            <w:r/>
            <w:r>
              <w:rPr>
                <w:b w:val="0"/>
                <w:i w:val="0"/>
                <w:sz w:val="20"/>
              </w:rPr>
              <w:t>A11</w:t>
            </w:r>
          </w:p>
        </w:tc>
        <w:tc>
          <w:tcPr>
            <w:tcW w:type="dxa" w:w="5499"/>
          </w:tcPr>
          <w:p>
            <w:r/>
            <w:r>
              <w:rPr>
                <w:b w:val="0"/>
                <w:i w:val="0"/>
                <w:sz w:val="20"/>
              </w:rPr>
              <w:t>Supervisor recommends for review; L6 vacancy / business need confirmed</w:t>
            </w:r>
          </w:p>
        </w:tc>
        <w:tc>
          <w:tcPr>
            <w:tcW w:type="dxa" w:w="624"/>
          </w:tcPr>
          <w:p>
            <w:r/>
            <w:r>
              <w:rPr>
                <w:b w:val="0"/>
                <w:i w:val="0"/>
                <w:sz w:val="20"/>
              </w:rPr>
            </w:r>
          </w:p>
        </w:tc>
        <w:tc>
          <w:tcPr>
            <w:tcW w:type="dxa" w:w="624"/>
          </w:tcPr>
          <w:p>
            <w:r/>
            <w:r>
              <w:rPr>
                <w:b w:val="0"/>
                <w:i w:val="0"/>
                <w:sz w:val="20"/>
              </w:rPr>
            </w:r>
          </w:p>
        </w:tc>
        <w:tc>
          <w:tcPr>
            <w:tcW w:type="dxa" w:w="2438"/>
          </w:tcPr>
          <w:p>
            <w:r/>
            <w:r>
              <w:rPr>
                <w:b w:val="0"/>
                <w:i w:val="0"/>
                <w:sz w:val="20"/>
              </w:rPr>
            </w:r>
          </w:p>
        </w:tc>
      </w:tr>
    </w:tbl>
    <w:p>
      <w:pPr>
        <w:spacing w:before="200" w:after="80"/>
      </w:pPr>
      <w:r>
        <w:rPr>
          <w:b/>
          <w:color w:val="1F5C2D"/>
          <w:sz w:val="22"/>
        </w:rPr>
        <w:t>Absolute Disqualifying Factors (Section 13.2 — any one bars promotion)</w:t>
      </w:r>
    </w:p>
    <w:tbl>
      <w:tblPr>
        <w:tblStyle w:val="TableGrid"/>
        <w:tblW w:type="auto" w:w="0"/>
        <w:jc w:val="center"/>
        <w:tblLayout w:type="fixed"/>
        <w:tblLook w:firstColumn="1" w:firstRow="1" w:lastColumn="0" w:lastRow="0" w:noHBand="0" w:noVBand="1" w:val="04A0"/>
        <w:tblLayout w:type="fixed"/>
      </w:tblPr>
      <w:tblGrid>
        <w:gridCol w:w="7371"/>
        <w:gridCol w:w="2211"/>
      </w:tblGrid>
      <w:tr>
        <w:tc>
          <w:tcPr>
            <w:tcW w:type="dxa" w:w="7370"/>
            <w:shd w:val="clear" w:fill="D9E5DC"/>
          </w:tcPr>
          <w:p>
            <w:r/>
            <w:r>
              <w:rPr>
                <w:b/>
                <w:i w:val="0"/>
                <w:sz w:val="20"/>
              </w:rPr>
              <w:t>Disqualifying Factor</w:t>
            </w:r>
          </w:p>
        </w:tc>
        <w:tc>
          <w:tcPr>
            <w:tcW w:type="dxa" w:w="2211"/>
            <w:shd w:val="clear" w:fill="D9E5DC"/>
          </w:tcPr>
          <w:p>
            <w:r/>
            <w:r>
              <w:rPr>
                <w:b/>
                <w:i w:val="0"/>
                <w:sz w:val="20"/>
              </w:rPr>
              <w:t>Present?</w:t>
            </w:r>
          </w:p>
        </w:tc>
      </w:tr>
      <w:tr>
        <w:tc>
          <w:tcPr>
            <w:tcW w:type="dxa" w:w="7370"/>
          </w:tcPr>
          <w:p>
            <w:r/>
            <w:r>
              <w:rPr>
                <w:b w:val="0"/>
                <w:i w:val="0"/>
                <w:sz w:val="20"/>
              </w:rPr>
              <w:t>Serious unresolved disciplinary action</w:t>
            </w:r>
          </w:p>
        </w:tc>
        <w:tc>
          <w:tcPr>
            <w:tcW w:type="dxa" w:w="2211"/>
          </w:tcPr>
          <w:p>
            <w:r/>
            <w:r>
              <w:rPr>
                <w:b w:val="0"/>
                <w:i w:val="0"/>
                <w:sz w:val="20"/>
              </w:rPr>
            </w:r>
          </w:p>
        </w:tc>
      </w:tr>
      <w:tr>
        <w:tc>
          <w:tcPr>
            <w:tcW w:type="dxa" w:w="7370"/>
          </w:tcPr>
          <w:p>
            <w:r/>
            <w:r>
              <w:rPr>
                <w:b w:val="0"/>
                <w:i w:val="0"/>
                <w:sz w:val="20"/>
              </w:rPr>
              <w:t>Any major biosecurity breach</w:t>
            </w:r>
          </w:p>
        </w:tc>
        <w:tc>
          <w:tcPr>
            <w:tcW w:type="dxa" w:w="2211"/>
          </w:tcPr>
          <w:p>
            <w:r/>
            <w:r>
              <w:rPr>
                <w:b w:val="0"/>
                <w:i w:val="0"/>
                <w:sz w:val="20"/>
              </w:rPr>
            </w:r>
          </w:p>
        </w:tc>
      </w:tr>
      <w:tr>
        <w:tc>
          <w:tcPr>
            <w:tcW w:type="dxa" w:w="7370"/>
          </w:tcPr>
          <w:p>
            <w:r/>
            <w:r>
              <w:rPr>
                <w:b w:val="0"/>
                <w:i w:val="0"/>
                <w:sz w:val="20"/>
              </w:rPr>
              <w:t>Any tier-rule breach involving GGP or GP animals, semen, or equipment</w:t>
            </w:r>
          </w:p>
        </w:tc>
        <w:tc>
          <w:tcPr>
            <w:tcW w:type="dxa" w:w="2211"/>
          </w:tcPr>
          <w:p>
            <w:r/>
            <w:r>
              <w:rPr>
                <w:b w:val="0"/>
                <w:i w:val="0"/>
                <w:sz w:val="20"/>
              </w:rPr>
            </w:r>
          </w:p>
        </w:tc>
      </w:tr>
      <w:tr>
        <w:tc>
          <w:tcPr>
            <w:tcW w:type="dxa" w:w="7370"/>
          </w:tcPr>
          <w:p>
            <w:r/>
            <w:r>
              <w:rPr>
                <w:b w:val="0"/>
                <w:i w:val="0"/>
                <w:sz w:val="20"/>
              </w:rPr>
              <w:t>Dishonesty in records or reporting</w:t>
            </w:r>
          </w:p>
        </w:tc>
        <w:tc>
          <w:tcPr>
            <w:tcW w:type="dxa" w:w="2211"/>
          </w:tcPr>
          <w:p>
            <w:r/>
            <w:r>
              <w:rPr>
                <w:b w:val="0"/>
                <w:i w:val="0"/>
                <w:sz w:val="20"/>
              </w:rPr>
            </w:r>
          </w:p>
        </w:tc>
      </w:tr>
      <w:tr>
        <w:tc>
          <w:tcPr>
            <w:tcW w:type="dxa" w:w="7370"/>
          </w:tcPr>
          <w:p>
            <w:r/>
            <w:r>
              <w:rPr>
                <w:b w:val="0"/>
                <w:i w:val="0"/>
                <w:sz w:val="20"/>
              </w:rPr>
              <w:t>Repeated non-compliance</w:t>
            </w:r>
          </w:p>
        </w:tc>
        <w:tc>
          <w:tcPr>
            <w:tcW w:type="dxa" w:w="2211"/>
          </w:tcPr>
          <w:p>
            <w:r/>
            <w:r>
              <w:rPr>
                <w:b w:val="0"/>
                <w:i w:val="0"/>
                <w:sz w:val="20"/>
              </w:rPr>
            </w:r>
          </w:p>
        </w:tc>
      </w:tr>
      <w:tr>
        <w:tc>
          <w:tcPr>
            <w:tcW w:type="dxa" w:w="7370"/>
          </w:tcPr>
          <w:p>
            <w:r/>
            <w:r>
              <w:rPr>
                <w:b w:val="0"/>
                <w:i w:val="0"/>
                <w:sz w:val="20"/>
              </w:rPr>
              <w:t>Poor conduct or persistent poor execution</w:t>
            </w:r>
          </w:p>
        </w:tc>
        <w:tc>
          <w:tcPr>
            <w:tcW w:type="dxa" w:w="2211"/>
          </w:tcPr>
          <w:p>
            <w:r/>
            <w:r>
              <w:rPr>
                <w:b w:val="0"/>
                <w:i w:val="0"/>
                <w:sz w:val="20"/>
              </w:rPr>
            </w:r>
          </w:p>
        </w:tc>
      </w:tr>
    </w:tbl>
    <w:p>
      <w:r>
        <w:br w:type="page"/>
      </w:r>
    </w:p>
    <w:p>
      <w:pPr>
        <w:spacing w:before="200" w:after="80"/>
      </w:pPr>
      <w:r>
        <w:rPr>
          <w:b/>
          <w:color w:val="1F5C2D"/>
          <w:sz w:val="24"/>
        </w:rPr>
        <w:t>Section B — Documented Evidence Review (scored from records, not opinion)</w:t>
      </w:r>
    </w:p>
    <w:p>
      <w:pPr>
        <w:spacing w:after="80"/>
      </w:pPr>
      <w:r>
        <w:rPr>
          <w:b w:val="0"/>
          <w:i/>
          <w:sz w:val="19"/>
        </w:rPr>
        <w:t>Score each from the attached appraisals, KPI reports, compliance logs, and skills log. Cite the source in Comments — this section rewards a proven track record, not interview performance.</w:t>
      </w:r>
    </w:p>
    <w:tbl>
      <w:tblPr>
        <w:tblStyle w:val="TableGrid"/>
        <w:tblW w:type="auto" w:w="0"/>
        <w:jc w:val="center"/>
        <w:tblLayout w:type="fixed"/>
        <w:tblLook w:firstColumn="1" w:firstRow="1" w:lastColumn="0" w:lastRow="0" w:noHBand="0" w:noVBand="1" w:val="04A0"/>
        <w:tblLayout w:type="fixed"/>
      </w:tblPr>
      <w:tblGrid>
        <w:gridCol w:w="4536"/>
        <w:gridCol w:w="1474"/>
        <w:gridCol w:w="3855"/>
      </w:tblGrid>
      <w:tr>
        <w:tc>
          <w:tcPr>
            <w:tcW w:type="dxa" w:w="4535"/>
            <w:shd w:val="clear" w:fill="D9E5DC"/>
          </w:tcPr>
          <w:p>
            <w:r/>
            <w:r>
              <w:rPr>
                <w:b/>
                <w:i w:val="0"/>
                <w:sz w:val="20"/>
              </w:rPr>
              <w:t>Evidence Area</w:t>
            </w:r>
          </w:p>
        </w:tc>
        <w:tc>
          <w:tcPr>
            <w:tcW w:type="dxa" w:w="1474"/>
            <w:shd w:val="clear" w:fill="D9E5DC"/>
          </w:tcPr>
          <w:p>
            <w:r/>
            <w:r>
              <w:rPr>
                <w:b/>
                <w:i w:val="0"/>
                <w:sz w:val="20"/>
              </w:rPr>
              <w:t>Rating (1–5)</w:t>
            </w:r>
          </w:p>
        </w:tc>
        <w:tc>
          <w:tcPr>
            <w:tcW w:type="dxa" w:w="3855"/>
            <w:shd w:val="clear" w:fill="D9E5DC"/>
          </w:tcPr>
          <w:p>
            <w:r/>
            <w:r>
              <w:rPr>
                <w:b/>
                <w:i w:val="0"/>
                <w:sz w:val="20"/>
              </w:rPr>
              <w:t>Source / Comments</w:t>
            </w:r>
          </w:p>
        </w:tc>
      </w:tr>
      <w:tr>
        <w:tc>
          <w:tcPr>
            <w:tcW w:type="dxa" w:w="4535"/>
          </w:tcPr>
          <w:p>
            <w:r/>
            <w:r>
              <w:rPr>
                <w:b w:val="0"/>
                <w:i w:val="0"/>
                <w:sz w:val="20"/>
              </w:rPr>
              <w:t>Multi-section performance stability and issue-resolution quality (year)</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Gilt-pool adequacy and pipeline-oversight outcomes</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People-management maturity and staff-development results</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Management reporting quality and integrity</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Compliance, biosecurity, and tier-discipline control performance</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Budget / resource awareness demonstrated in role</w:t>
            </w:r>
          </w:p>
        </w:tc>
        <w:tc>
          <w:tcPr>
            <w:tcW w:type="dxa" w:w="1474"/>
          </w:tcPr>
          <w:p>
            <w:r/>
            <w:r>
              <w:rPr>
                <w:b w:val="0"/>
                <w:i w:val="0"/>
                <w:sz w:val="20"/>
              </w:rPr>
            </w:r>
          </w:p>
        </w:tc>
        <w:tc>
          <w:tcPr>
            <w:tcW w:type="dxa" w:w="3855"/>
          </w:tcPr>
          <w:p>
            <w:r/>
            <w:r>
              <w:rPr>
                <w:b w:val="0"/>
                <w:i w:val="0"/>
                <w:sz w:val="20"/>
              </w:rPr>
            </w:r>
          </w:p>
        </w:tc>
      </w:tr>
      <w:tr>
        <w:tc>
          <w:tcPr>
            <w:tcW w:type="dxa" w:w="4535"/>
          </w:tcPr>
          <w:p>
            <w:r/>
            <w:r>
              <w:rPr>
                <w:b w:val="0"/>
                <w:i w:val="0"/>
                <w:sz w:val="20"/>
              </w:rPr>
              <w:t>Overall annual appraisal trend and leadership readiness rating</w:t>
            </w:r>
          </w:p>
        </w:tc>
        <w:tc>
          <w:tcPr>
            <w:tcW w:type="dxa" w:w="1474"/>
          </w:tcPr>
          <w:p>
            <w:r/>
            <w:r>
              <w:rPr>
                <w:b w:val="0"/>
                <w:i w:val="0"/>
                <w:sz w:val="20"/>
              </w:rPr>
            </w:r>
          </w:p>
        </w:tc>
        <w:tc>
          <w:tcPr>
            <w:tcW w:type="dxa" w:w="3855"/>
          </w:tcPr>
          <w:p>
            <w:r/>
            <w:r>
              <w:rPr>
                <w:b w:val="0"/>
                <w:i w:val="0"/>
                <w:sz w:val="20"/>
              </w:rPr>
            </w:r>
          </w:p>
        </w:tc>
      </w:tr>
    </w:tbl>
    <w:p>
      <w:pPr>
        <w:spacing w:before="200" w:after="80"/>
      </w:pPr>
      <w:r>
        <w:rPr>
          <w:b/>
          <w:color w:val="1F5C2D"/>
          <w:sz w:val="24"/>
        </w:rPr>
        <w:t>Section C — New-Level (L6) Farm-Management Readiness Sign-Off</w:t>
      </w:r>
    </w:p>
    <w:p>
      <w:pPr>
        <w:spacing w:after="80"/>
      </w:pPr>
      <w:r>
        <w:rPr>
          <w:b w:val="0"/>
          <w:i/>
          <w:sz w:val="19"/>
        </w:rPr>
        <w:t>Three-stage sign-off per Section 13.1. Tick the highest stage reached for each new-level competency and record the verifier and date. “Performed Consistently to Standard” is the bar for promotion readiness on core duties.</w:t>
      </w:r>
    </w:p>
    <w:tbl>
      <w:tblPr>
        <w:tblStyle w:val="TableGrid"/>
        <w:tblW w:type="auto" w:w="0"/>
        <w:jc w:val="center"/>
        <w:tblLayout w:type="fixed"/>
        <w:tblLook w:firstColumn="1" w:firstRow="1" w:lastColumn="0" w:lastRow="0" w:noHBand="0" w:noVBand="1" w:val="04A0"/>
        <w:tblLayout w:type="fixed"/>
      </w:tblPr>
      <w:tblGrid>
        <w:gridCol w:w="3061"/>
        <w:gridCol w:w="1077"/>
        <w:gridCol w:w="1644"/>
        <w:gridCol w:w="1701"/>
        <w:gridCol w:w="1927"/>
      </w:tblGrid>
      <w:tr>
        <w:tc>
          <w:tcPr>
            <w:tcW w:type="dxa" w:w="3061"/>
            <w:shd w:val="clear" w:fill="D9E5DC"/>
          </w:tcPr>
          <w:p>
            <w:r/>
            <w:r>
              <w:rPr>
                <w:b/>
                <w:i w:val="0"/>
                <w:sz w:val="20"/>
              </w:rPr>
              <w:t>New-Level Competency</w:t>
            </w:r>
          </w:p>
        </w:tc>
        <w:tc>
          <w:tcPr>
            <w:tcW w:type="dxa" w:w="1077"/>
            <w:shd w:val="clear" w:fill="D9E5DC"/>
          </w:tcPr>
          <w:p>
            <w:r/>
            <w:r>
              <w:rPr>
                <w:b/>
                <w:i w:val="0"/>
                <w:sz w:val="20"/>
              </w:rPr>
              <w:t>Observed</w:t>
            </w:r>
          </w:p>
        </w:tc>
        <w:tc>
          <w:tcPr>
            <w:tcW w:type="dxa" w:w="1644"/>
            <w:shd w:val="clear" w:fill="D9E5DC"/>
          </w:tcPr>
          <w:p>
            <w:r/>
            <w:r>
              <w:rPr>
                <w:b/>
                <w:i w:val="0"/>
                <w:sz w:val="20"/>
              </w:rPr>
              <w:t>Performed Under Supervision</w:t>
            </w:r>
          </w:p>
        </w:tc>
        <w:tc>
          <w:tcPr>
            <w:tcW w:type="dxa" w:w="1701"/>
            <w:shd w:val="clear" w:fill="D9E5DC"/>
          </w:tcPr>
          <w:p>
            <w:r/>
            <w:r>
              <w:rPr>
                <w:b/>
                <w:i w:val="0"/>
                <w:sz w:val="20"/>
              </w:rPr>
              <w:t>Performed Consistently to Standard</w:t>
            </w:r>
          </w:p>
        </w:tc>
        <w:tc>
          <w:tcPr>
            <w:tcW w:type="dxa" w:w="1928"/>
            <w:shd w:val="clear" w:fill="D9E5DC"/>
          </w:tcPr>
          <w:p>
            <w:r/>
            <w:r>
              <w:rPr>
                <w:b/>
                <w:i w:val="0"/>
                <w:sz w:val="20"/>
              </w:rPr>
              <w:t>Verifier / Date</w:t>
            </w:r>
          </w:p>
        </w:tc>
      </w:tr>
      <w:tr>
        <w:tc>
          <w:tcPr>
            <w:tcW w:type="dxa" w:w="3061"/>
          </w:tcPr>
          <w:p>
            <w:r/>
            <w:r>
              <w:rPr>
                <w:b w:val="0"/>
                <w:i w:val="0"/>
                <w:sz w:val="20"/>
              </w:rPr>
              <w:t>Runs the farm operating rhythm (daily control to annual plan)</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Owns and delivers reproductive KPIs across the whole farm</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Protects genetic-tier integrity, including internal replacement flow</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Manages budget and resources (feed, health, labour, replacements)</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Plans and sequences the 52→200 sow scale-up without breaking output</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Builds and develops the supervisory bench and succession</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Leads compliance, biosecurity, and welfare as accountable owner</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r>
        <w:tc>
          <w:tcPr>
            <w:tcW w:type="dxa" w:w="3061"/>
          </w:tcPr>
          <w:p>
            <w:r/>
            <w:r>
              <w:rPr>
                <w:b w:val="0"/>
                <w:i w:val="0"/>
                <w:sz w:val="20"/>
              </w:rPr>
              <w:t>Reports to management with disciplined, honest governance</w:t>
            </w:r>
          </w:p>
        </w:tc>
        <w:tc>
          <w:tcPr>
            <w:tcW w:type="dxa" w:w="1077"/>
          </w:tcPr>
          <w:p>
            <w:r/>
            <w:r>
              <w:rPr>
                <w:b w:val="0"/>
                <w:i w:val="0"/>
                <w:sz w:val="20"/>
              </w:rPr>
              <w:t>☐</w:t>
            </w:r>
          </w:p>
        </w:tc>
        <w:tc>
          <w:tcPr>
            <w:tcW w:type="dxa" w:w="1644"/>
          </w:tcPr>
          <w:p>
            <w:r/>
            <w:r>
              <w:rPr>
                <w:b w:val="0"/>
                <w:i w:val="0"/>
                <w:sz w:val="20"/>
              </w:rPr>
              <w:t>☐</w:t>
            </w:r>
          </w:p>
        </w:tc>
        <w:tc>
          <w:tcPr>
            <w:tcW w:type="dxa" w:w="1701"/>
          </w:tcPr>
          <w:p>
            <w:r/>
            <w:r>
              <w:rPr>
                <w:b w:val="0"/>
                <w:i w:val="0"/>
                <w:sz w:val="20"/>
              </w:rPr>
              <w:t>☐</w:t>
            </w:r>
          </w:p>
        </w:tc>
        <w:tc>
          <w:tcPr>
            <w:tcW w:type="dxa" w:w="1928"/>
          </w:tcPr>
          <w:p>
            <w:r/>
            <w:r>
              <w:rPr>
                <w:b w:val="0"/>
                <w:i w:val="0"/>
                <w:sz w:val="20"/>
              </w:rPr>
            </w:r>
          </w:p>
        </w:tc>
      </w:tr>
    </w:tbl>
    <w:p>
      <w:r>
        <w:br w:type="page"/>
      </w:r>
    </w:p>
    <w:p>
      <w:pPr>
        <w:spacing w:before="200" w:after="80"/>
      </w:pPr>
      <w:r>
        <w:rPr>
          <w:b/>
          <w:color w:val="1F5C2D"/>
          <w:sz w:val="24"/>
        </w:rPr>
        <w:t>Section D — Forward-Looking Readiness Interview</w:t>
      </w:r>
    </w:p>
    <w:p>
      <w:pPr>
        <w:spacing w:after="80"/>
      </w:pPr>
      <w:r>
        <w:rPr>
          <w:b w:val="0"/>
          <w:i/>
          <w:sz w:val="19"/>
        </w:rPr>
        <w:t>Focus on whole-farm leadership, budget, genetic-tier stewardship, and integrity under pressure. Provide a short case in advance. Allow 60–75 min.</w:t>
      </w:r>
    </w:p>
    <w:p>
      <w:pPr>
        <w:spacing w:before="200" w:after="80"/>
      </w:pPr>
      <w:r>
        <w:rPr>
          <w:b/>
          <w:color w:val="1F5C2D"/>
          <w:sz w:val="22"/>
        </w:rPr>
        <w:t>D1. Whole-Farm Leadership and Scale-Up</w:t>
      </w:r>
    </w:p>
    <w:p>
      <w:pPr>
        <w:spacing w:before="160" w:after="40"/>
      </w:pPr>
      <w:r>
        <w:rPr>
          <w:b/>
        </w:rPr>
        <w:t xml:space="preserve">Q1. </w:t>
      </w:r>
      <w:r>
        <w:rPr>
          <w:b/>
        </w:rPr>
        <w:t>How would you run the whole farm to hit its targets, from daily control to the annual plan?</w:t>
      </w:r>
    </w:p>
    <w:p>
      <w:pPr>
        <w:spacing w:after="40"/>
      </w:pPr>
      <w:r>
        <w:rPr>
          <w:i/>
          <w:color w:val="404040"/>
          <w:sz w:val="19"/>
        </w:rPr>
        <w:t>Look for: Coherent operating rhythm; ownership through L4/L5; KPI-driven; plans ahead. Runs a system.</w:t>
      </w:r>
    </w:p>
    <w:p>
      <w:pPr>
        <w:spacing w:after="120"/>
      </w:pPr>
      <w:r>
        <w:rPr>
          <w:sz w:val="19"/>
        </w:rPr>
        <w:t>Rating:  1    2    3    4    5        Notes: _______________________________________________</w:t>
      </w:r>
    </w:p>
    <w:p>
      <w:pPr>
        <w:spacing w:before="160" w:after="40"/>
      </w:pPr>
      <w:r>
        <w:rPr>
          <w:b/>
        </w:rPr>
        <w:t xml:space="preserve">Q2. </w:t>
      </w:r>
      <w:r>
        <w:rPr>
          <w:b/>
        </w:rPr>
        <w:t>Scaling 52→200 GP sows: what do you change and in what sequence, without breaking current output?</w:t>
      </w:r>
    </w:p>
    <w:p>
      <w:pPr>
        <w:spacing w:after="40"/>
      </w:pPr>
      <w:r>
        <w:rPr>
          <w:i/>
          <w:color w:val="404040"/>
          <w:sz w:val="19"/>
        </w:rPr>
        <w:t>Look for: Staged plan across staffing, facilities, biosecurity, systems, and gilt pipeline; protects standards through growth.</w:t>
      </w:r>
    </w:p>
    <w:p>
      <w:pPr>
        <w:spacing w:after="120"/>
      </w:pPr>
      <w:r>
        <w:rPr>
          <w:sz w:val="19"/>
        </w:rPr>
        <w:t>Rating:  1    2    3    4    5        Notes: _______________________________________________</w:t>
      </w:r>
    </w:p>
    <w:p>
      <w:pPr>
        <w:spacing w:before="200" w:after="80"/>
      </w:pPr>
      <w:r>
        <w:rPr>
          <w:b/>
          <w:color w:val="1F5C2D"/>
          <w:sz w:val="22"/>
        </w:rPr>
        <w:t>D2. KPI, Genetics, and Budget</w:t>
      </w:r>
    </w:p>
    <w:p>
      <w:pPr>
        <w:spacing w:before="160" w:after="40"/>
      </w:pPr>
      <w:r>
        <w:rPr>
          <w:b/>
        </w:rPr>
        <w:t xml:space="preserve">Q3. </w:t>
      </w:r>
      <w:r>
        <w:rPr>
          <w:b/>
        </w:rPr>
        <w:t>Pigs weaned per sow per year is below target and flat. How do you lead the turnaround?</w:t>
      </w:r>
    </w:p>
    <w:p>
      <w:pPr>
        <w:spacing w:after="40"/>
      </w:pPr>
      <w:r>
        <w:rPr>
          <w:i/>
          <w:color w:val="404040"/>
          <w:sz w:val="19"/>
        </w:rPr>
        <w:t>Look for: Diagnoses across service, gestation, farrowing, health, nutrition, and people; interventions with owners and timelines; tracks recovery.</w:t>
      </w:r>
    </w:p>
    <w:p>
      <w:pPr>
        <w:spacing w:after="120"/>
      </w:pPr>
      <w:r>
        <w:rPr>
          <w:sz w:val="19"/>
        </w:rPr>
        <w:t>Rating:  1    2    3    4    5        Notes: _______________________________________________</w:t>
      </w:r>
    </w:p>
    <w:p>
      <w:pPr>
        <w:spacing w:before="160" w:after="40"/>
      </w:pPr>
      <w:r>
        <w:rPr>
          <w:b/>
        </w:rPr>
        <w:t xml:space="preserve">Q4. </w:t>
      </w:r>
      <w:r>
        <w:rPr>
          <w:b/>
        </w:rPr>
        <w:t>How would you manage the farm budget — feed, health, labour, replacements — for cost and performance, and plan capex for growth?</w:t>
      </w:r>
    </w:p>
    <w:p>
      <w:pPr>
        <w:spacing w:after="40"/>
      </w:pPr>
      <w:r>
        <w:rPr>
          <w:i/>
          <w:color w:val="404040"/>
          <w:sz w:val="19"/>
        </w:rPr>
        <w:t>Look for: Understands major cost drivers (feed); controls without starving performance; plans investment. Financially literate.</w:t>
      </w:r>
    </w:p>
    <w:p>
      <w:pPr>
        <w:spacing w:after="120"/>
      </w:pPr>
      <w:r>
        <w:rPr>
          <w:sz w:val="19"/>
        </w:rPr>
        <w:t>Rating:  1    2    3    4    5        Notes: _______________________________________________</w:t>
      </w:r>
    </w:p>
    <w:p>
      <w:pPr>
        <w:spacing w:before="200" w:after="80"/>
      </w:pPr>
      <w:r>
        <w:rPr>
          <w:b/>
          <w:color w:val="1F5C2D"/>
          <w:sz w:val="22"/>
        </w:rPr>
        <w:t>D3. Integrity and Continuity</w:t>
      </w:r>
    </w:p>
    <w:p>
      <w:pPr>
        <w:spacing w:before="160" w:after="40"/>
      </w:pPr>
      <w:r>
        <w:rPr>
          <w:b/>
        </w:rPr>
        <w:t xml:space="preserve">Q5. </w:t>
      </w:r>
      <w:r>
        <w:rPr>
          <w:b/>
        </w:rPr>
        <w:t>You're pressured from above to report better numbers than the farm is delivering. What do you do?</w:t>
      </w:r>
    </w:p>
    <w:p>
      <w:pPr>
        <w:spacing w:after="40"/>
      </w:pPr>
      <w:r>
        <w:rPr>
          <w:i/>
          <w:color w:val="404040"/>
          <w:sz w:val="19"/>
        </w:rPr>
        <w:t>Look for: Reports honestly with a credible plan; will not falsify. Any hedging is disqualifying.</w:t>
      </w:r>
    </w:p>
    <w:p>
      <w:pPr>
        <w:spacing w:after="120"/>
      </w:pPr>
      <w:r>
        <w:rPr>
          <w:sz w:val="19"/>
        </w:rPr>
        <w:t>Rating:  1    2    3    4    5        Notes: _______________________________________________</w:t>
      </w:r>
    </w:p>
    <w:p>
      <w:pPr>
        <w:spacing w:before="160" w:after="40"/>
      </w:pPr>
      <w:r>
        <w:rPr>
          <w:b/>
        </w:rPr>
        <w:t xml:space="preserve">Q6. </w:t>
      </w:r>
      <w:r>
        <w:rPr>
          <w:b/>
        </w:rPr>
        <w:t>A serious disease event threatens business continuity. How do you lead through it?</w:t>
      </w:r>
    </w:p>
    <w:p>
      <w:pPr>
        <w:spacing w:after="40"/>
      </w:pPr>
      <w:r>
        <w:rPr>
          <w:i/>
          <w:color w:val="404040"/>
          <w:sz w:val="19"/>
        </w:rPr>
        <w:t>Look for: Calm command; contains; works with Vet; protects the core herd; communicates; documents; plans recovery.</w:t>
      </w:r>
    </w:p>
    <w:p>
      <w:pPr>
        <w:spacing w:after="120"/>
      </w:pPr>
      <w:r>
        <w:rPr>
          <w:sz w:val="19"/>
        </w:rPr>
        <w:t>Rating:  1    2    3    4    5        Notes: _______________________________________________</w:t>
      </w:r>
    </w:p>
    <w:p>
      <w:r>
        <w:br w:type="page"/>
      </w:r>
    </w:p>
    <w:p>
      <w:pPr>
        <w:spacing w:before="200" w:after="80"/>
      </w:pPr>
      <w:r>
        <w:rPr>
          <w:b/>
          <w:color w:val="1F5C2D"/>
          <w:sz w:val="24"/>
        </w:rPr>
        <w:t>Section E — Readiness Summary and Panel Decision</w:t>
      </w:r>
    </w:p>
    <w:p>
      <w:pPr>
        <w:spacing w:after="80"/>
      </w:pPr>
      <w:r>
        <w:rPr>
          <w:b w:val="0"/>
          <w:i/>
          <w:sz w:val="19"/>
        </w:rPr>
        <w:t>Weighted score = average rating × weight. Maximum total = 5.00. Readiness is a judgement of whether the employee can perform at the NEXT level now, not how well they perform at their current level.</w:t>
      </w:r>
    </w:p>
    <w:tbl>
      <w:tblPr>
        <w:tblStyle w:val="TableGrid"/>
        <w:tblW w:type="auto" w:w="0"/>
        <w:jc w:val="center"/>
        <w:tblLayout w:type="fixed"/>
        <w:tblLook w:firstColumn="1" w:firstRow="1" w:lastColumn="0" w:lastRow="0" w:noHBand="0" w:noVBand="1" w:val="04A0"/>
        <w:tblLayout w:type="fixed"/>
      </w:tblPr>
      <w:tblGrid>
        <w:gridCol w:w="3515"/>
        <w:gridCol w:w="1247"/>
        <w:gridCol w:w="1587"/>
        <w:gridCol w:w="963"/>
        <w:gridCol w:w="2268"/>
      </w:tblGrid>
      <w:tr>
        <w:tc>
          <w:tcPr>
            <w:tcW w:type="dxa" w:w="3515"/>
            <w:shd w:val="clear" w:fill="D9E5DC"/>
          </w:tcPr>
          <w:p>
            <w:r/>
            <w:r>
              <w:rPr>
                <w:b/>
                <w:i w:val="0"/>
                <w:sz w:val="20"/>
              </w:rPr>
              <w:t>Readiness Area</w:t>
            </w:r>
          </w:p>
        </w:tc>
        <w:tc>
          <w:tcPr>
            <w:tcW w:type="dxa" w:w="1247"/>
            <w:shd w:val="clear" w:fill="D9E5DC"/>
          </w:tcPr>
          <w:p>
            <w:r/>
            <w:r>
              <w:rPr>
                <w:b/>
                <w:i w:val="0"/>
                <w:sz w:val="20"/>
              </w:rPr>
              <w:t>Reference</w:t>
            </w:r>
          </w:p>
        </w:tc>
        <w:tc>
          <w:tcPr>
            <w:tcW w:type="dxa" w:w="1587"/>
            <w:shd w:val="clear" w:fill="D9E5DC"/>
          </w:tcPr>
          <w:p>
            <w:r/>
            <w:r>
              <w:rPr>
                <w:b/>
                <w:i w:val="0"/>
                <w:sz w:val="20"/>
              </w:rPr>
              <w:t>Avg. Rating (1–5)</w:t>
            </w:r>
          </w:p>
        </w:tc>
        <w:tc>
          <w:tcPr>
            <w:tcW w:type="dxa" w:w="964"/>
            <w:shd w:val="clear" w:fill="D9E5DC"/>
          </w:tcPr>
          <w:p>
            <w:r/>
            <w:r>
              <w:rPr>
                <w:b/>
                <w:i w:val="0"/>
                <w:sz w:val="20"/>
              </w:rPr>
              <w:t>Weight</w:t>
            </w:r>
          </w:p>
        </w:tc>
        <w:tc>
          <w:tcPr>
            <w:tcW w:type="dxa" w:w="2268"/>
            <w:shd w:val="clear" w:fill="D9E5DC"/>
          </w:tcPr>
          <w:p>
            <w:r/>
            <w:r>
              <w:rPr>
                <w:b/>
                <w:i w:val="0"/>
                <w:sz w:val="20"/>
              </w:rPr>
              <w:t>Weighted Score</w:t>
            </w:r>
          </w:p>
        </w:tc>
      </w:tr>
      <w:tr>
        <w:tc>
          <w:tcPr>
            <w:tcW w:type="dxa" w:w="3515"/>
          </w:tcPr>
          <w:p>
            <w:r/>
            <w:r>
              <w:rPr>
                <w:b w:val="0"/>
                <w:i w:val="0"/>
                <w:sz w:val="20"/>
              </w:rPr>
              <w:t>Section B — documented evidence review</w:t>
            </w:r>
          </w:p>
        </w:tc>
        <w:tc>
          <w:tcPr>
            <w:tcW w:type="dxa" w:w="1247"/>
          </w:tcPr>
          <w:p>
            <w:r/>
            <w:r>
              <w:rPr>
                <w:b w:val="0"/>
                <w:i w:val="0"/>
                <w:sz w:val="20"/>
              </w:rPr>
              <w:t>B1–B7</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Section C — L6 management-readiness skills log</w:t>
            </w:r>
          </w:p>
        </w:tc>
        <w:tc>
          <w:tcPr>
            <w:tcW w:type="dxa" w:w="1247"/>
          </w:tcPr>
          <w:p>
            <w:r/>
            <w:r>
              <w:rPr>
                <w:b w:val="0"/>
                <w:i w:val="0"/>
                <w:sz w:val="20"/>
              </w:rPr>
              <w:t>Skills log</w:t>
            </w:r>
          </w:p>
        </w:tc>
        <w:tc>
          <w:tcPr>
            <w:tcW w:type="dxa" w:w="1587"/>
          </w:tcPr>
          <w:p>
            <w:r/>
            <w:r>
              <w:rPr>
                <w:b w:val="0"/>
                <w:i w:val="0"/>
                <w:sz w:val="20"/>
              </w:rPr>
            </w:r>
          </w:p>
        </w:tc>
        <w:tc>
          <w:tcPr>
            <w:tcW w:type="dxa" w:w="964"/>
          </w:tcPr>
          <w:p>
            <w:r/>
            <w:r>
              <w:rPr>
                <w:b w:val="0"/>
                <w:i w:val="0"/>
                <w:sz w:val="20"/>
              </w:rPr>
              <w:t>30%</w:t>
            </w:r>
          </w:p>
        </w:tc>
        <w:tc>
          <w:tcPr>
            <w:tcW w:type="dxa" w:w="2268"/>
          </w:tcPr>
          <w:p>
            <w:r/>
            <w:r>
              <w:rPr>
                <w:b w:val="0"/>
                <w:i w:val="0"/>
                <w:sz w:val="20"/>
              </w:rPr>
            </w:r>
          </w:p>
        </w:tc>
      </w:tr>
      <w:tr>
        <w:tc>
          <w:tcPr>
            <w:tcW w:type="dxa" w:w="3515"/>
          </w:tcPr>
          <w:p>
            <w:r/>
            <w:r>
              <w:rPr>
                <w:b w:val="0"/>
                <w:i w:val="0"/>
                <w:sz w:val="20"/>
              </w:rPr>
              <w:t>Section D — forward readiness interview / case</w:t>
            </w:r>
          </w:p>
        </w:tc>
        <w:tc>
          <w:tcPr>
            <w:tcW w:type="dxa" w:w="1247"/>
          </w:tcPr>
          <w:p>
            <w:r/>
            <w:r>
              <w:rPr>
                <w:b w:val="0"/>
                <w:i w:val="0"/>
                <w:sz w:val="20"/>
              </w:rPr>
              <w:t>D1–D3</w:t>
            </w:r>
          </w:p>
        </w:tc>
        <w:tc>
          <w:tcPr>
            <w:tcW w:type="dxa" w:w="1587"/>
          </w:tcPr>
          <w:p>
            <w:r/>
            <w:r>
              <w:rPr>
                <w:b w:val="0"/>
                <w:i w:val="0"/>
                <w:sz w:val="20"/>
              </w:rPr>
            </w:r>
          </w:p>
        </w:tc>
        <w:tc>
          <w:tcPr>
            <w:tcW w:type="dxa" w:w="964"/>
          </w:tcPr>
          <w:p>
            <w:r/>
            <w:r>
              <w:rPr>
                <w:b w:val="0"/>
                <w:i w:val="0"/>
                <w:sz w:val="20"/>
              </w:rPr>
              <w:t>35%</w:t>
            </w:r>
          </w:p>
        </w:tc>
        <w:tc>
          <w:tcPr>
            <w:tcW w:type="dxa" w:w="2268"/>
          </w:tcPr>
          <w:p>
            <w:r/>
            <w:r>
              <w:rPr>
                <w:b w:val="0"/>
                <w:i w:val="0"/>
                <w:sz w:val="20"/>
              </w:rPr>
            </w:r>
          </w:p>
        </w:tc>
      </w:tr>
      <w:tr>
        <w:tc>
          <w:tcPr>
            <w:tcW w:type="dxa" w:w="3515"/>
          </w:tcPr>
          <w:p>
            <w:r/>
            <w:r>
              <w:rPr>
                <w:b w:val="0"/>
                <w:i w:val="0"/>
                <w:sz w:val="20"/>
              </w:rPr>
              <w:t>TOTAL</w:t>
            </w:r>
          </w:p>
        </w:tc>
        <w:tc>
          <w:tcPr>
            <w:tcW w:type="dxa" w:w="1247"/>
          </w:tcPr>
          <w:p>
            <w:r/>
            <w:r>
              <w:rPr>
                <w:b w:val="0"/>
                <w:i w:val="0"/>
                <w:sz w:val="20"/>
              </w:rPr>
            </w:r>
          </w:p>
        </w:tc>
        <w:tc>
          <w:tcPr>
            <w:tcW w:type="dxa" w:w="1587"/>
          </w:tcPr>
          <w:p>
            <w:r/>
            <w:r>
              <w:rPr>
                <w:b w:val="0"/>
                <w:i w:val="0"/>
                <w:sz w:val="20"/>
              </w:rPr>
            </w:r>
          </w:p>
        </w:tc>
        <w:tc>
          <w:tcPr>
            <w:tcW w:type="dxa" w:w="964"/>
          </w:tcPr>
          <w:p>
            <w:r/>
            <w:r>
              <w:rPr>
                <w:b w:val="0"/>
                <w:i w:val="0"/>
                <w:sz w:val="20"/>
              </w:rPr>
              <w:t>100%</w:t>
            </w:r>
          </w:p>
        </w:tc>
        <w:tc>
          <w:tcPr>
            <w:tcW w:type="dxa" w:w="2268"/>
          </w:tcPr>
          <w:p>
            <w:r/>
            <w:r>
              <w:rPr>
                <w:b w:val="0"/>
                <w:i w:val="0"/>
                <w:sz w:val="20"/>
              </w:rPr>
            </w:r>
          </w:p>
        </w:tc>
      </w:tr>
    </w:tbl>
    <w:p>
      <w:pPr>
        <w:spacing w:after="80"/>
      </w:pPr>
      <w:r>
        <w:rPr>
          <w:b w:val="0"/>
          <w:i w:val="0"/>
          <w:sz w:val="19"/>
        </w:rPr>
        <w:t>Interpretation: 4.0+ — promote; 3.3–3.9 — promote with conditions and a defined mentoring/handover; 2.8–3.2 — defer, give acting-manager exposure first; below 2.8 — retain at L5 with development plan. For a role this senior, confirm the track record — do not promote on interview alone.</w:t>
      </w:r>
    </w:p>
    <w:p>
      <w:pPr>
        <w:spacing w:before="200" w:after="80"/>
      </w:pPr>
      <w:r>
        <w:rPr>
          <w:b/>
          <w:color w:val="1F5C2D"/>
          <w:sz w:val="22"/>
        </w:rPr>
        <w:t>Panel Decision (Part III — tick one)</w:t>
      </w:r>
    </w:p>
    <w:tbl>
      <w:tblPr>
        <w:tblStyle w:val="TableGrid"/>
        <w:tblW w:type="auto" w:w="0"/>
        <w:jc w:val="center"/>
        <w:tblLayout w:type="fixed"/>
        <w:tblLook w:firstColumn="1" w:firstRow="1" w:lastColumn="0" w:lastRow="0" w:noHBand="0" w:noVBand="1" w:val="04A0"/>
        <w:tblLayout w:type="fixed"/>
      </w:tblPr>
      <w:tblGrid>
        <w:gridCol w:w="3175"/>
        <w:gridCol w:w="3175"/>
        <w:gridCol w:w="3175"/>
      </w:tblGrid>
      <w:tr>
        <w:tc>
          <w:tcPr>
            <w:tcW w:type="dxa" w:w="3175"/>
          </w:tcPr>
          <w:p>
            <w:r/>
            <w:r>
              <w:rPr>
                <w:b w:val="0"/>
                <w:i w:val="0"/>
                <w:sz w:val="20"/>
              </w:rPr>
              <w:t>Promote  ☐</w:t>
            </w:r>
          </w:p>
        </w:tc>
        <w:tc>
          <w:tcPr>
            <w:tcW w:type="dxa" w:w="3175"/>
          </w:tcPr>
          <w:p>
            <w:r/>
            <w:r>
              <w:rPr>
                <w:b w:val="0"/>
                <w:i w:val="0"/>
                <w:sz w:val="20"/>
              </w:rPr>
              <w:t>Promote with conditions  ☐</w:t>
            </w:r>
          </w:p>
        </w:tc>
        <w:tc>
          <w:tcPr>
            <w:tcW w:type="dxa" w:w="3175"/>
          </w:tcPr>
          <w:p>
            <w:r/>
            <w:r>
              <w:rPr>
                <w:b w:val="0"/>
                <w:i w:val="0"/>
                <w:sz w:val="20"/>
              </w:rPr>
              <w:t>Defer pending skills completion  ☐</w:t>
            </w:r>
          </w:p>
        </w:tc>
      </w:tr>
      <w:tr>
        <w:tc>
          <w:tcPr>
            <w:tcW w:type="dxa" w:w="3175"/>
          </w:tcPr>
          <w:p>
            <w:r/>
            <w:r>
              <w:rPr>
                <w:b w:val="0"/>
                <w:i w:val="0"/>
                <w:sz w:val="20"/>
              </w:rPr>
              <w:t>Retain in current role with improvement plan  ☐</w:t>
            </w:r>
          </w:p>
        </w:tc>
        <w:tc>
          <w:tcPr>
            <w:tcW w:type="dxa" w:w="3175"/>
          </w:tcPr>
          <w:p>
            <w:r/>
            <w:r>
              <w:rPr>
                <w:b w:val="0"/>
                <w:i w:val="0"/>
                <w:sz w:val="20"/>
              </w:rPr>
              <w:t>Not promotion-ready  ☐</w:t>
            </w:r>
          </w:p>
        </w:tc>
        <w:tc>
          <w:tcPr>
            <w:tcW w:type="dxa" w:w="3175"/>
          </w:tcPr>
          <w:p>
            <w:r/>
            <w:r>
              <w:rPr>
                <w:b w:val="0"/>
                <w:i w:val="0"/>
                <w:sz w:val="20"/>
              </w:rPr>
            </w:r>
          </w:p>
        </w:tc>
      </w:tr>
    </w:tbl>
    <w:p>
      <w:pPr>
        <w:spacing w:before="200" w:after="80"/>
      </w:pPr>
      <w:r>
        <w:rPr>
          <w:b/>
          <w:color w:val="1F5C2D"/>
          <w:sz w:val="22"/>
        </w:rPr>
        <w:t>Development Plan / Conditions (if Deferred, Conditional, or Retained)</w:t>
      </w:r>
    </w:p>
    <w:tbl>
      <w:tblPr>
        <w:tblStyle w:val="TableGrid"/>
        <w:tblW w:type="auto" w:w="0"/>
        <w:jc w:val="center"/>
        <w:tblLayout w:type="fixed"/>
        <w:tblLook w:firstColumn="1" w:firstRow="1" w:lastColumn="0" w:lastRow="0" w:noHBand="0" w:noVBand="1" w:val="04A0"/>
        <w:tblLayout w:type="fixed"/>
      </w:tblPr>
      <w:tblGrid>
        <w:gridCol w:w="3402"/>
        <w:gridCol w:w="6180"/>
      </w:tblGrid>
      <w:tr>
        <w:tc>
          <w:tcPr>
            <w:tcW w:type="dxa" w:w="3402"/>
          </w:tcPr>
          <w:p>
            <w:r/>
            <w:r>
              <w:rPr>
                <w:b w:val="0"/>
                <w:i w:val="0"/>
                <w:sz w:val="20"/>
              </w:rPr>
              <w:t>Strengths confirmed:</w:t>
            </w:r>
          </w:p>
        </w:tc>
        <w:tc>
          <w:tcPr>
            <w:tcW w:type="dxa" w:w="6180"/>
          </w:tcPr>
          <w:p>
            <w:r/>
            <w:r>
              <w:rPr>
                <w:b w:val="0"/>
                <w:i w:val="0"/>
                <w:sz w:val="20"/>
              </w:rPr>
            </w:r>
          </w:p>
        </w:tc>
      </w:tr>
      <w:tr>
        <w:tc>
          <w:tcPr>
            <w:tcW w:type="dxa" w:w="3402"/>
          </w:tcPr>
          <w:p>
            <w:r/>
            <w:r>
              <w:rPr>
                <w:b w:val="0"/>
                <w:i w:val="0"/>
                <w:sz w:val="20"/>
              </w:rPr>
              <w:t>Gaps to close before next review:</w:t>
            </w:r>
          </w:p>
        </w:tc>
        <w:tc>
          <w:tcPr>
            <w:tcW w:type="dxa" w:w="6180"/>
          </w:tcPr>
          <w:p>
            <w:r/>
            <w:r>
              <w:rPr>
                <w:b w:val="0"/>
                <w:i w:val="0"/>
                <w:sz w:val="20"/>
              </w:rPr>
            </w:r>
          </w:p>
        </w:tc>
      </w:tr>
      <w:tr>
        <w:tc>
          <w:tcPr>
            <w:tcW w:type="dxa" w:w="3402"/>
          </w:tcPr>
          <w:p>
            <w:r/>
            <w:r>
              <w:rPr>
                <w:b w:val="0"/>
                <w:i w:val="0"/>
                <w:sz w:val="20"/>
              </w:rPr>
              <w:t>Agreed actions, owner, and target date:</w:t>
            </w:r>
          </w:p>
        </w:tc>
        <w:tc>
          <w:tcPr>
            <w:tcW w:type="dxa" w:w="6180"/>
          </w:tcPr>
          <w:p>
            <w:r/>
            <w:r>
              <w:rPr>
                <w:b w:val="0"/>
                <w:i w:val="0"/>
                <w:sz w:val="20"/>
              </w:rPr>
            </w:r>
          </w:p>
        </w:tc>
      </w:tr>
      <w:tr>
        <w:tc>
          <w:tcPr>
            <w:tcW w:type="dxa" w:w="3402"/>
          </w:tcPr>
          <w:p>
            <w:r/>
            <w:r>
              <w:rPr>
                <w:b w:val="0"/>
                <w:i w:val="0"/>
                <w:sz w:val="20"/>
              </w:rPr>
              <w:t>Date of next readiness review:</w:t>
            </w:r>
          </w:p>
        </w:tc>
        <w:tc>
          <w:tcPr>
            <w:tcW w:type="dxa" w:w="6180"/>
          </w:tcPr>
          <w:p>
            <w:r/>
            <w:r>
              <w:rPr>
                <w:b w:val="0"/>
                <w:i w:val="0"/>
                <w:sz w:val="20"/>
              </w:rPr>
            </w:r>
          </w:p>
        </w:tc>
      </w:tr>
    </w:tbl>
    <w:p>
      <w:pPr>
        <w:spacing w:before="200" w:after="80"/>
      </w:pPr>
      <w:r>
        <w:rPr>
          <w:b/>
          <w:color w:val="1F5C2D"/>
          <w:sz w:val="22"/>
        </w:rPr>
        <w:t>Sign-Off</w:t>
      </w:r>
    </w:p>
    <w:tbl>
      <w:tblPr>
        <w:tblStyle w:val="TableGrid"/>
        <w:tblW w:type="auto" w:w="0"/>
        <w:jc w:val="center"/>
        <w:tblLayout w:type="fixed"/>
        <w:tblLook w:firstColumn="1" w:firstRow="1" w:lastColumn="0" w:lastRow="0" w:noHBand="0" w:noVBand="1" w:val="04A0"/>
        <w:tblLayout w:type="fixed"/>
      </w:tblPr>
      <w:tblGrid>
        <w:gridCol w:w="4819"/>
        <w:gridCol w:w="4762"/>
      </w:tblGrid>
      <w:tr>
        <w:tc>
          <w:tcPr>
            <w:tcW w:type="dxa" w:w="4819"/>
          </w:tcPr>
          <w:p>
            <w:r/>
            <w:r>
              <w:rPr>
                <w:b w:val="0"/>
                <w:i w:val="0"/>
                <w:sz w:val="20"/>
              </w:rPr>
              <w:t>Immediate Supervisor (Operations/Production Manager) — Name / Signature / Date</w:t>
            </w:r>
          </w:p>
        </w:tc>
        <w:tc>
          <w:tcPr>
            <w:tcW w:type="dxa" w:w="4762"/>
          </w:tcPr>
          <w:p>
            <w:r/>
            <w:r>
              <w:rPr>
                <w:b w:val="0"/>
                <w:i w:val="0"/>
                <w:sz w:val="20"/>
              </w:rPr>
            </w:r>
          </w:p>
        </w:tc>
      </w:tr>
      <w:tr>
        <w:tc>
          <w:tcPr>
            <w:tcW w:type="dxa" w:w="4819"/>
          </w:tcPr>
          <w:p>
            <w:r/>
            <w:r>
              <w:rPr>
                <w:b w:val="0"/>
                <w:i w:val="0"/>
                <w:sz w:val="20"/>
              </w:rPr>
              <w:t>Veterinarian — Name / Signature / Date</w:t>
            </w:r>
          </w:p>
        </w:tc>
        <w:tc>
          <w:tcPr>
            <w:tcW w:type="dxa" w:w="4762"/>
          </w:tcPr>
          <w:p>
            <w:r/>
            <w:r>
              <w:rPr>
                <w:b w:val="0"/>
                <w:i w:val="0"/>
                <w:sz w:val="20"/>
              </w:rPr>
            </w:r>
          </w:p>
        </w:tc>
      </w:tr>
      <w:tr>
        <w:tc>
          <w:tcPr>
            <w:tcW w:type="dxa" w:w="4819"/>
          </w:tcPr>
          <w:p>
            <w:r/>
            <w:r>
              <w:rPr>
                <w:b w:val="0"/>
                <w:i w:val="0"/>
                <w:sz w:val="20"/>
              </w:rPr>
              <w:t>HR / Finance Representative — Name / Signature / Date</w:t>
            </w:r>
          </w:p>
        </w:tc>
        <w:tc>
          <w:tcPr>
            <w:tcW w:type="dxa" w:w="4762"/>
          </w:tcPr>
          <w:p>
            <w:r/>
            <w:r>
              <w:rPr>
                <w:b w:val="0"/>
                <w:i w:val="0"/>
                <w:sz w:val="20"/>
              </w:rPr>
            </w:r>
          </w:p>
        </w:tc>
      </w:tr>
      <w:tr>
        <w:tc>
          <w:tcPr>
            <w:tcW w:type="dxa" w:w="4819"/>
          </w:tcPr>
          <w:p>
            <w:r/>
            <w:r>
              <w:rPr>
                <w:b w:val="0"/>
                <w:i w:val="0"/>
                <w:sz w:val="20"/>
              </w:rPr>
              <w:t>Promotion Panel Decision (CEO / Operations Manager) — Name / Signature / Date</w:t>
            </w:r>
          </w:p>
        </w:tc>
        <w:tc>
          <w:tcPr>
            <w:tcW w:type="dxa" w:w="4762"/>
          </w:tcPr>
          <w:p>
            <w:r/>
            <w:r>
              <w:rPr>
                <w:b w:val="0"/>
                <w:i w:val="0"/>
                <w:sz w:val="20"/>
              </w:rPr>
            </w:r>
          </w:p>
        </w:tc>
      </w:tr>
    </w:tbl>
    <w:p>
      <w:pPr>
        <w:spacing w:before="200"/>
      </w:pPr>
      <w:r>
        <w:rPr>
          <w:i/>
          <w:sz w:val="17"/>
        </w:rPr>
        <w:t>Wills Farms Ltd. — Internal Use Only. This form is completed together by the immediate supervisor and reviewing manager; the four Quarterly Performance Reviews and the Annual Appraisal of the year, plus completed skills-log sign-offs, are mandatory attachments. HR collates; the promotion panel decides (per Section 13 and the Part III Promotion Assessment Form).</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