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C2D"/>
          <w:sz w:val="32"/>
        </w:rPr>
        <w:t>WILLS FARMS LTD.</w:t>
      </w:r>
    </w:p>
    <w:p>
      <w:pPr>
        <w:jc w:val="center"/>
      </w:pPr>
      <w:r>
        <w:rPr>
          <w:b/>
          <w:sz w:val="26"/>
        </w:rPr>
        <w:t>Promotion Readiness Assessment</w:t>
      </w:r>
    </w:p>
    <w:p>
      <w:pPr>
        <w:jc w:val="center"/>
      </w:pPr>
      <w:r>
        <w:rPr>
          <w:sz w:val="24"/>
        </w:rPr>
        <w:t>Breeding Farm Manager (L6)  →  Operations/Production Manager (L7)</w:t>
      </w:r>
    </w:p>
    <w:p>
      <w:pPr>
        <w:jc w:val="center"/>
      </w:pPr>
      <w:r>
        <w:rPr>
          <w:i/>
          <w:sz w:val="18"/>
        </w:rPr>
        <w:t>Aligned to Breeding Operations HR Manual v2.1 — Section 13 Promotion Framework and Part III Promotion Assessment Form</w:t>
      </w:r>
    </w:p>
    <w:tbl>
      <w:tblPr>
        <w:tblStyle w:val="TableGrid"/>
        <w:tblW w:type="auto" w:w="0"/>
        <w:jc w:val="center"/>
        <w:tblLayout w:type="fixed"/>
        <w:tblLook w:firstColumn="1" w:firstRow="1" w:lastColumn="0" w:lastRow="0" w:noHBand="0" w:noVBand="1" w:val="04A0"/>
        <w:tblLayout w:type="fixed"/>
      </w:tblPr>
      <w:tblGrid>
        <w:gridCol w:w="2608"/>
        <w:gridCol w:w="2211"/>
        <w:gridCol w:w="2608"/>
        <w:gridCol w:w="2211"/>
      </w:tblGrid>
      <w:tr>
        <w:tc>
          <w:tcPr>
            <w:tcW w:type="dxa" w:w="2608"/>
          </w:tcPr>
          <w:p>
            <w:r/>
            <w:r>
              <w:rPr>
                <w:b w:val="0"/>
                <w:i w:val="0"/>
                <w:sz w:val="20"/>
              </w:rPr>
              <w:t>Employee Name:</w:t>
            </w:r>
          </w:p>
        </w:tc>
        <w:tc>
          <w:tcPr>
            <w:tcW w:type="dxa" w:w="2211"/>
          </w:tcPr>
          <w:p>
            <w:r/>
            <w:r>
              <w:rPr>
                <w:b w:val="0"/>
                <w:i w:val="0"/>
                <w:sz w:val="20"/>
              </w:rPr>
            </w:r>
          </w:p>
        </w:tc>
        <w:tc>
          <w:tcPr>
            <w:tcW w:type="dxa" w:w="2608"/>
          </w:tcPr>
          <w:p>
            <w:r/>
            <w:r>
              <w:rPr>
                <w:b w:val="0"/>
                <w:i w:val="0"/>
                <w:sz w:val="20"/>
              </w:rPr>
              <w:t>Staff No.:</w:t>
            </w:r>
          </w:p>
        </w:tc>
        <w:tc>
          <w:tcPr>
            <w:tcW w:type="dxa" w:w="2211"/>
          </w:tcPr>
          <w:p>
            <w:r/>
            <w:r>
              <w:rPr>
                <w:b w:val="0"/>
                <w:i w:val="0"/>
                <w:sz w:val="20"/>
              </w:rPr>
            </w:r>
          </w:p>
        </w:tc>
      </w:tr>
      <w:tr>
        <w:tc>
          <w:tcPr>
            <w:tcW w:type="dxa" w:w="2608"/>
          </w:tcPr>
          <w:p>
            <w:r/>
            <w:r>
              <w:rPr>
                <w:b w:val="0"/>
                <w:i w:val="0"/>
                <w:sz w:val="20"/>
              </w:rPr>
              <w:t>Current Grade / Title:</w:t>
            </w:r>
          </w:p>
        </w:tc>
        <w:tc>
          <w:tcPr>
            <w:tcW w:type="dxa" w:w="2211"/>
          </w:tcPr>
          <w:p>
            <w:r/>
            <w:r>
              <w:rPr>
                <w:b w:val="0"/>
                <w:i w:val="0"/>
                <w:sz w:val="20"/>
              </w:rPr>
              <w:t>Breeding Farm Manager (L6)</w:t>
            </w:r>
          </w:p>
        </w:tc>
        <w:tc>
          <w:tcPr>
            <w:tcW w:type="dxa" w:w="2608"/>
          </w:tcPr>
          <w:p>
            <w:r/>
            <w:r>
              <w:rPr>
                <w:b w:val="0"/>
                <w:i w:val="0"/>
                <w:sz w:val="20"/>
              </w:rPr>
              <w:t>Proposed Grade / Title:</w:t>
            </w:r>
          </w:p>
        </w:tc>
        <w:tc>
          <w:tcPr>
            <w:tcW w:type="dxa" w:w="2211"/>
          </w:tcPr>
          <w:p>
            <w:r/>
            <w:r>
              <w:rPr>
                <w:b w:val="0"/>
                <w:i w:val="0"/>
                <w:sz w:val="20"/>
              </w:rPr>
              <w:t>Operations/Production Manager (L7)</w:t>
            </w:r>
          </w:p>
        </w:tc>
      </w:tr>
      <w:tr>
        <w:tc>
          <w:tcPr>
            <w:tcW w:type="dxa" w:w="2608"/>
          </w:tcPr>
          <w:p>
            <w:r/>
            <w:r>
              <w:rPr>
                <w:b w:val="0"/>
                <w:i w:val="0"/>
                <w:sz w:val="20"/>
              </w:rPr>
              <w:t>Section / Unit:</w:t>
            </w:r>
          </w:p>
        </w:tc>
        <w:tc>
          <w:tcPr>
            <w:tcW w:type="dxa" w:w="2211"/>
          </w:tcPr>
          <w:p>
            <w:r/>
            <w:r>
              <w:rPr>
                <w:b w:val="0"/>
                <w:i w:val="0"/>
                <w:sz w:val="20"/>
              </w:rPr>
            </w:r>
          </w:p>
        </w:tc>
        <w:tc>
          <w:tcPr>
            <w:tcW w:type="dxa" w:w="2608"/>
          </w:tcPr>
          <w:p>
            <w:r/>
            <w:r>
              <w:rPr>
                <w:b w:val="0"/>
                <w:i w:val="0"/>
                <w:sz w:val="20"/>
              </w:rPr>
              <w:t>Time in Current Role:</w:t>
            </w:r>
          </w:p>
        </w:tc>
        <w:tc>
          <w:tcPr>
            <w:tcW w:type="dxa" w:w="2211"/>
          </w:tcPr>
          <w:p>
            <w:r/>
            <w:r>
              <w:rPr>
                <w:b w:val="0"/>
                <w:i w:val="0"/>
                <w:sz w:val="20"/>
              </w:rPr>
            </w:r>
          </w:p>
        </w:tc>
      </w:tr>
      <w:tr>
        <w:tc>
          <w:tcPr>
            <w:tcW w:type="dxa" w:w="2608"/>
          </w:tcPr>
          <w:p>
            <w:r/>
            <w:r>
              <w:rPr>
                <w:b w:val="0"/>
                <w:i w:val="0"/>
                <w:sz w:val="20"/>
              </w:rPr>
              <w:t>Tier Authorisation Held (GP / PS / external GGP semen):</w:t>
            </w:r>
          </w:p>
        </w:tc>
        <w:tc>
          <w:tcPr>
            <w:tcW w:type="dxa" w:w="2211"/>
          </w:tcPr>
          <w:p>
            <w:r/>
            <w:r>
              <w:rPr>
                <w:b w:val="0"/>
                <w:i w:val="0"/>
                <w:sz w:val="20"/>
              </w:rPr>
            </w:r>
          </w:p>
        </w:tc>
        <w:tc>
          <w:tcPr>
            <w:tcW w:type="dxa" w:w="2608"/>
          </w:tcPr>
          <w:p>
            <w:r/>
            <w:r>
              <w:rPr>
                <w:b w:val="0"/>
                <w:i w:val="0"/>
                <w:sz w:val="20"/>
              </w:rPr>
              <w:t>Date of Assessment:</w:t>
            </w:r>
          </w:p>
        </w:tc>
        <w:tc>
          <w:tcPr>
            <w:tcW w:type="dxa" w:w="2211"/>
          </w:tcPr>
          <w:p>
            <w:r/>
            <w:r>
              <w:rPr>
                <w:b w:val="0"/>
                <w:i w:val="0"/>
                <w:sz w:val="20"/>
              </w:rPr>
            </w:r>
          </w:p>
        </w:tc>
      </w:tr>
      <w:tr>
        <w:tc>
          <w:tcPr>
            <w:tcW w:type="dxa" w:w="2608"/>
          </w:tcPr>
          <w:p>
            <w:r/>
            <w:r>
              <w:rPr>
                <w:b w:val="0"/>
                <w:i w:val="0"/>
                <w:sz w:val="20"/>
              </w:rPr>
              <w:t>Immediate Supervisor:</w:t>
            </w:r>
          </w:p>
        </w:tc>
        <w:tc>
          <w:tcPr>
            <w:tcW w:type="dxa" w:w="2211"/>
          </w:tcPr>
          <w:p>
            <w:r/>
            <w:r>
              <w:rPr>
                <w:b w:val="0"/>
                <w:i w:val="0"/>
                <w:sz w:val="20"/>
              </w:rPr>
            </w:r>
          </w:p>
        </w:tc>
        <w:tc>
          <w:tcPr>
            <w:tcW w:type="dxa" w:w="2608"/>
          </w:tcPr>
          <w:p>
            <w:r/>
            <w:r>
              <w:rPr>
                <w:b w:val="0"/>
                <w:i w:val="0"/>
                <w:sz w:val="20"/>
              </w:rPr>
              <w:t>Reviewing Manager:</w:t>
            </w:r>
          </w:p>
        </w:tc>
        <w:tc>
          <w:tcPr>
            <w:tcW w:type="dxa" w:w="2211"/>
          </w:tcPr>
          <w:p>
            <w:r/>
            <w:r>
              <w:rPr>
                <w:b w:val="0"/>
                <w:i w:val="0"/>
                <w:sz w:val="20"/>
              </w:rPr>
            </w:r>
          </w:p>
        </w:tc>
      </w:tr>
      <w:tr>
        <w:tc>
          <w:tcPr>
            <w:tcW w:type="dxa" w:w="2608"/>
          </w:tcPr>
          <w:p>
            <w:r/>
            <w:r>
              <w:rPr>
                <w:b w:val="0"/>
                <w:i w:val="0"/>
                <w:sz w:val="20"/>
              </w:rPr>
              <w:t>Triggering Review (Quarter / Year of “Ready for promotion assessment”):</w:t>
            </w:r>
          </w:p>
        </w:tc>
        <w:tc>
          <w:tcPr>
            <w:tcW w:type="dxa" w:w="2211"/>
          </w:tcPr>
          <w:p>
            <w:r/>
            <w:r>
              <w:rPr>
                <w:b w:val="0"/>
                <w:i w:val="0"/>
                <w:sz w:val="20"/>
              </w:rPr>
            </w:r>
          </w:p>
        </w:tc>
        <w:tc>
          <w:tcPr>
            <w:tcW w:type="dxa" w:w="2608"/>
          </w:tcPr>
          <w:p>
            <w:r/>
            <w:r>
              <w:rPr>
                <w:b w:val="0"/>
                <w:i w:val="0"/>
                <w:sz w:val="20"/>
              </w:rPr>
              <w:t>Business need / vacancy confirmed:</w:t>
            </w:r>
          </w:p>
        </w:tc>
        <w:tc>
          <w:tcPr>
            <w:tcW w:type="dxa" w:w="2211"/>
          </w:tcPr>
          <w:p>
            <w:r/>
            <w:r>
              <w:rPr>
                <w:b w:val="0"/>
                <w:i w:val="0"/>
                <w:sz w:val="20"/>
              </w:rPr>
            </w:r>
          </w:p>
        </w:tc>
      </w:tr>
    </w:tbl>
    <w:p>
      <w:pPr>
        <w:spacing w:before="200" w:after="80"/>
      </w:pPr>
      <w:r>
        <w:rPr>
          <w:b/>
          <w:color w:val="1F5C2D"/>
          <w:sz w:val="24"/>
        </w:rPr>
        <w:t>How to Use This Form</w:t>
      </w:r>
    </w:p>
    <w:p>
      <w:pPr>
        <w:spacing w:after="80"/>
      </w:pPr>
      <w:r>
        <w:rPr>
          <w:b w:val="0"/>
          <w:i w:val="0"/>
          <w:sz w:val="21"/>
        </w:rPr>
        <w:t>This form assesses whether an L6 is ready for L7 Operations/Production Manager — the top of the line-management pathway, holding overall operational and technical leadership across both the breeding multiplication operation and the grower-finisher operation, and aligning production, financial, compliance, and people objectives with company strategy. The step is from running one farm to leading the enterprise's whole production engine and partnering with the CEO/board.</w:t>
      </w:r>
    </w:p>
    <w:p>
      <w:pPr>
        <w:spacing w:after="80"/>
      </w:pPr>
      <w:r>
        <w:rPr>
          <w:b w:val="0"/>
          <w:i w:val="0"/>
          <w:sz w:val="21"/>
        </w:rPr>
        <w:t>The L7 threshold is enterprise leadership and strategic operational control, on the Bachelor's base with a Master's (MSc/MPhil/MBA) or advanced management training strongly preferred. Assess this as an executive succession decision: track record, strategic judgement, governance, and integrity dominate over interview polish.</w:t>
      </w:r>
    </w:p>
    <w:p>
      <w:pPr>
        <w:spacing w:after="80"/>
      </w:pPr>
      <w:r>
        <w:rPr>
          <w:b w:val="0"/>
          <w:i w:val="0"/>
          <w:sz w:val="21"/>
        </w:rPr>
        <w:t>Complete Sections A and B from the record; Section C verifies enterprise-leadership readiness; Section D uses a strategic presentation/case. Rating scale 1–5. Panel: CEO as chair, with a board/investor representative and the Veterinarian or an external swine expert. Never promote at this level on interview alone — verify the enterprise track record and integrity through references.</w:t>
      </w:r>
    </w:p>
    <w:p>
      <w:pPr>
        <w:spacing w:before="200" w:after="80"/>
      </w:pPr>
      <w:r>
        <w:rPr>
          <w:b/>
          <w:color w:val="1F5C2D"/>
          <w:sz w:val="24"/>
        </w:rPr>
        <w:t>Section A — Minimum Eligibility Gate (Pass/Fail)</w:t>
      </w:r>
    </w:p>
    <w:p>
      <w:pPr>
        <w:spacing w:after="80"/>
      </w:pPr>
      <w:r>
        <w:rPr>
          <w:b w:val="0"/>
          <w:i/>
          <w:sz w:val="19"/>
        </w:rPr>
        <w:t>Complete from documented records before any interview. Any “No” pauses the promotion until resolved. The disqualifying factors below (Section 13.2) are absolute — any one bars promotion this cycle regardless of other scores.</w:t>
      </w:r>
    </w:p>
    <w:tbl>
      <w:tblPr>
        <w:tblStyle w:val="TableGrid"/>
        <w:tblW w:type="auto" w:w="0"/>
        <w:jc w:val="center"/>
        <w:tblLayout w:type="fixed"/>
        <w:tblLook w:firstColumn="1" w:firstRow="1" w:lastColumn="0" w:lastRow="0" w:noHBand="0" w:noVBand="1" w:val="04A0"/>
        <w:tblLayout w:type="fixed"/>
      </w:tblPr>
      <w:tblGrid>
        <w:gridCol w:w="453"/>
        <w:gridCol w:w="5499"/>
        <w:gridCol w:w="623"/>
        <w:gridCol w:w="623"/>
        <w:gridCol w:w="2438"/>
      </w:tblGrid>
      <w:tr>
        <w:tc>
          <w:tcPr>
            <w:tcW w:type="dxa" w:w="454"/>
            <w:shd w:val="clear" w:fill="D9E5DC"/>
          </w:tcPr>
          <w:p>
            <w:r/>
            <w:r>
              <w:rPr>
                <w:b/>
                <w:i w:val="0"/>
                <w:sz w:val="20"/>
              </w:rPr>
              <w:t>#</w:t>
            </w:r>
          </w:p>
        </w:tc>
        <w:tc>
          <w:tcPr>
            <w:tcW w:type="dxa" w:w="5499"/>
            <w:shd w:val="clear" w:fill="D9E5DC"/>
          </w:tcPr>
          <w:p>
            <w:r/>
            <w:r>
              <w:rPr>
                <w:b/>
                <w:i w:val="0"/>
                <w:sz w:val="20"/>
              </w:rPr>
              <w:t>Eligibility Requirement (Section 13.1 / Part III)</w:t>
            </w:r>
          </w:p>
        </w:tc>
        <w:tc>
          <w:tcPr>
            <w:tcW w:type="dxa" w:w="624"/>
            <w:shd w:val="clear" w:fill="D9E5DC"/>
          </w:tcPr>
          <w:p>
            <w:r/>
            <w:r>
              <w:rPr>
                <w:b/>
                <w:i w:val="0"/>
                <w:sz w:val="20"/>
              </w:rPr>
              <w:t>Yes</w:t>
            </w:r>
          </w:p>
        </w:tc>
        <w:tc>
          <w:tcPr>
            <w:tcW w:type="dxa" w:w="624"/>
            <w:shd w:val="clear" w:fill="D9E5DC"/>
          </w:tcPr>
          <w:p>
            <w:r/>
            <w:r>
              <w:rPr>
                <w:b/>
                <w:i w:val="0"/>
                <w:sz w:val="20"/>
              </w:rPr>
              <w:t>No</w:t>
            </w:r>
          </w:p>
        </w:tc>
        <w:tc>
          <w:tcPr>
            <w:tcW w:type="dxa" w:w="2438"/>
            <w:shd w:val="clear" w:fill="D9E5DC"/>
          </w:tcPr>
          <w:p>
            <w:r/>
            <w:r>
              <w:rPr>
                <w:b/>
                <w:i w:val="0"/>
                <w:sz w:val="20"/>
              </w:rPr>
              <w:t>Evidence / Comments</w:t>
            </w:r>
          </w:p>
        </w:tc>
      </w:tr>
      <w:tr>
        <w:tc>
          <w:tcPr>
            <w:tcW w:type="dxa" w:w="454"/>
          </w:tcPr>
          <w:p>
            <w:r/>
            <w:r>
              <w:rPr>
                <w:b w:val="0"/>
                <w:i w:val="0"/>
                <w:sz w:val="20"/>
              </w:rPr>
              <w:t>A1</w:t>
            </w:r>
          </w:p>
        </w:tc>
        <w:tc>
          <w:tcPr>
            <w:tcW w:type="dxa" w:w="5499"/>
          </w:tcPr>
          <w:p>
            <w:r/>
            <w:r>
              <w:rPr>
                <w:b w:val="0"/>
                <w:i w:val="0"/>
                <w:sz w:val="20"/>
              </w:rPr>
              <w:t>Minimum expected time in current role completed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A2</w:t>
            </w:r>
          </w:p>
        </w:tc>
        <w:tc>
          <w:tcPr>
            <w:tcW w:type="dxa" w:w="5499"/>
          </w:tcPr>
          <w:p>
            <w:r/>
            <w:r>
              <w:rPr>
                <w:b w:val="0"/>
                <w:i w:val="0"/>
                <w:sz w:val="20"/>
              </w:rPr>
              <w:t>Attendance record satisfactory (from appraisals)</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A3</w:t>
            </w:r>
          </w:p>
        </w:tc>
        <w:tc>
          <w:tcPr>
            <w:tcW w:type="dxa" w:w="5499"/>
          </w:tcPr>
          <w:p>
            <w:r/>
            <w:r>
              <w:rPr>
                <w:b w:val="0"/>
                <w:i w:val="0"/>
                <w:sz w:val="20"/>
              </w:rPr>
              <w:t>Conduct and discipline record satisfactory; no serious unresolved disciplinary issue</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A4</w:t>
            </w:r>
          </w:p>
        </w:tc>
        <w:tc>
          <w:tcPr>
            <w:tcW w:type="dxa" w:w="5499"/>
          </w:tcPr>
          <w:p>
            <w:r/>
            <w:r>
              <w:rPr>
                <w:b w:val="0"/>
                <w:i w:val="0"/>
                <w:sz w:val="20"/>
              </w:rPr>
              <w:t>No major biosecurity or tier-discipline breach on record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A5</w:t>
            </w:r>
          </w:p>
        </w:tc>
        <w:tc>
          <w:tcPr>
            <w:tcW w:type="dxa" w:w="5499"/>
          </w:tcPr>
          <w:p>
            <w:r/>
            <w:r>
              <w:rPr>
                <w:b w:val="0"/>
                <w:i w:val="0"/>
                <w:sz w:val="20"/>
              </w:rPr>
              <w:t>All four Quarterly Performance Reviews of the year attached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A6</w:t>
            </w:r>
          </w:p>
        </w:tc>
        <w:tc>
          <w:tcPr>
            <w:tcW w:type="dxa" w:w="5499"/>
          </w:tcPr>
          <w:p>
            <w:r/>
            <w:r>
              <w:rPr>
                <w:b w:val="0"/>
                <w:i w:val="0"/>
                <w:sz w:val="20"/>
              </w:rPr>
              <w:t>Annual Appraisal of the year attached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A7</w:t>
            </w:r>
          </w:p>
        </w:tc>
        <w:tc>
          <w:tcPr>
            <w:tcW w:type="dxa" w:w="5499"/>
          </w:tcPr>
          <w:p>
            <w:r/>
            <w:r>
              <w:rPr>
                <w:b w:val="0"/>
                <w:i w:val="0"/>
                <w:sz w:val="20"/>
              </w:rPr>
              <w:t>Holds the Bachelor's base; Master's (MSc/MPhil/MBA) or advanced management training strongly preferred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A8</w:t>
            </w:r>
          </w:p>
        </w:tc>
        <w:tc>
          <w:tcPr>
            <w:tcW w:type="dxa" w:w="5499"/>
          </w:tcPr>
          <w:p>
            <w:r/>
            <w:r>
              <w:rPr>
                <w:b w:val="0"/>
                <w:i w:val="0"/>
                <w:sz w:val="20"/>
              </w:rPr>
              <w:t>Demonstrated farm-wide operational stability and KPI delivery as L6</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A9</w:t>
            </w:r>
          </w:p>
        </w:tc>
        <w:tc>
          <w:tcPr>
            <w:tcW w:type="dxa" w:w="5499"/>
          </w:tcPr>
          <w:p>
            <w:r/>
            <w:r>
              <w:rPr>
                <w:b w:val="0"/>
                <w:i w:val="0"/>
                <w:sz w:val="20"/>
              </w:rPr>
              <w:t>Evidence of leading across technical and people functions and building teams</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A10</w:t>
            </w:r>
          </w:p>
        </w:tc>
        <w:tc>
          <w:tcPr>
            <w:tcW w:type="dxa" w:w="5499"/>
          </w:tcPr>
          <w:p>
            <w:r/>
            <w:r>
              <w:rPr>
                <w:b w:val="0"/>
                <w:i w:val="0"/>
                <w:sz w:val="20"/>
              </w:rPr>
              <w:t>Disciplined governance and reporting; unquestioned leadership integrity</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A11</w:t>
            </w:r>
          </w:p>
        </w:tc>
        <w:tc>
          <w:tcPr>
            <w:tcW w:type="dxa" w:w="5499"/>
          </w:tcPr>
          <w:p>
            <w:r/>
            <w:r>
              <w:rPr>
                <w:b w:val="0"/>
                <w:i w:val="0"/>
                <w:sz w:val="20"/>
              </w:rPr>
              <w:t>Board / CEO endorses the review; L7 vacancy / succession need confirmed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bl>
    <w:p>
      <w:pPr>
        <w:spacing w:before="200" w:after="80"/>
      </w:pPr>
      <w:r>
        <w:rPr>
          <w:b/>
          <w:color w:val="1F5C2D"/>
          <w:sz w:val="22"/>
        </w:rPr>
        <w:t>Absolute Disqualifying Factors (Section 13.2 — any one bars promotion)</w:t>
      </w:r>
    </w:p>
    <w:tbl>
      <w:tblPr>
        <w:tblStyle w:val="TableGrid"/>
        <w:tblW w:type="auto" w:w="0"/>
        <w:jc w:val="center"/>
        <w:tblLayout w:type="fixed"/>
        <w:tblLook w:firstColumn="1" w:firstRow="1" w:lastColumn="0" w:lastRow="0" w:noHBand="0" w:noVBand="1" w:val="04A0"/>
        <w:tblLayout w:type="fixed"/>
      </w:tblPr>
      <w:tblGrid>
        <w:gridCol w:w="7371"/>
        <w:gridCol w:w="2211"/>
      </w:tblGrid>
      <w:tr>
        <w:tc>
          <w:tcPr>
            <w:tcW w:type="dxa" w:w="7370"/>
            <w:shd w:val="clear" w:fill="D9E5DC"/>
          </w:tcPr>
          <w:p>
            <w:r/>
            <w:r>
              <w:rPr>
                <w:b/>
                <w:i w:val="0"/>
                <w:sz w:val="20"/>
              </w:rPr>
              <w:t>Disqualifying Factor</w:t>
            </w:r>
          </w:p>
        </w:tc>
        <w:tc>
          <w:tcPr>
            <w:tcW w:type="dxa" w:w="2211"/>
            <w:shd w:val="clear" w:fill="D9E5DC"/>
          </w:tcPr>
          <w:p>
            <w:r/>
            <w:r>
              <w:rPr>
                <w:b/>
                <w:i w:val="0"/>
                <w:sz w:val="20"/>
              </w:rPr>
              <w:t>Present?</w:t>
            </w:r>
          </w:p>
        </w:tc>
      </w:tr>
      <w:tr>
        <w:tc>
          <w:tcPr>
            <w:tcW w:type="dxa" w:w="7370"/>
          </w:tcPr>
          <w:p>
            <w:r/>
            <w:r>
              <w:rPr>
                <w:b w:val="0"/>
                <w:i w:val="0"/>
                <w:sz w:val="20"/>
              </w:rPr>
              <w:t>Any willingness to compromise genetic integrity, biosecurity, or welfare for a target</w:t>
            </w:r>
          </w:p>
        </w:tc>
        <w:tc>
          <w:tcPr>
            <w:tcW w:type="dxa" w:w="2211"/>
          </w:tcPr>
          <w:p>
            <w:r/>
            <w:r>
              <w:rPr>
                <w:b w:val="0"/>
                <w:i w:val="0"/>
                <w:sz w:val="20"/>
              </w:rPr>
            </w:r>
          </w:p>
        </w:tc>
      </w:tr>
      <w:tr>
        <w:tc>
          <w:tcPr>
            <w:tcW w:type="dxa" w:w="7370"/>
          </w:tcPr>
          <w:p>
            <w:r/>
            <w:r>
              <w:rPr>
                <w:b w:val="0"/>
                <w:i w:val="0"/>
                <w:sz w:val="20"/>
              </w:rPr>
              <w:t>Any dishonesty or willingness to mislead the CEO/board in reporting</w:t>
            </w:r>
          </w:p>
        </w:tc>
        <w:tc>
          <w:tcPr>
            <w:tcW w:type="dxa" w:w="2211"/>
          </w:tcPr>
          <w:p>
            <w:r/>
            <w:r>
              <w:rPr>
                <w:b w:val="0"/>
                <w:i w:val="0"/>
                <w:sz w:val="20"/>
              </w:rPr>
            </w:r>
          </w:p>
        </w:tc>
      </w:tr>
      <w:tr>
        <w:tc>
          <w:tcPr>
            <w:tcW w:type="dxa" w:w="7370"/>
          </w:tcPr>
          <w:p>
            <w:r/>
            <w:r>
              <w:rPr>
                <w:b w:val="0"/>
                <w:i w:val="0"/>
                <w:sz w:val="20"/>
              </w:rPr>
              <w:t>Serious unresolved disciplinary action or major biosecurity / tier-rule breach on record</w:t>
            </w:r>
          </w:p>
        </w:tc>
        <w:tc>
          <w:tcPr>
            <w:tcW w:type="dxa" w:w="2211"/>
          </w:tcPr>
          <w:p>
            <w:r/>
            <w:r>
              <w:rPr>
                <w:b w:val="0"/>
                <w:i w:val="0"/>
                <w:sz w:val="20"/>
              </w:rPr>
            </w:r>
          </w:p>
        </w:tc>
      </w:tr>
      <w:tr>
        <w:tc>
          <w:tcPr>
            <w:tcW w:type="dxa" w:w="7370"/>
          </w:tcPr>
          <w:p>
            <w:r/>
            <w:r>
              <w:rPr>
                <w:b w:val="0"/>
                <w:i w:val="0"/>
                <w:sz w:val="20"/>
              </w:rPr>
              <w:t>No credible evidence of leading beyond a single farm</w:t>
            </w:r>
          </w:p>
        </w:tc>
        <w:tc>
          <w:tcPr>
            <w:tcW w:type="dxa" w:w="2211"/>
          </w:tcPr>
          <w:p>
            <w:r/>
            <w:r>
              <w:rPr>
                <w:b w:val="0"/>
                <w:i w:val="0"/>
                <w:sz w:val="20"/>
              </w:rPr>
            </w:r>
          </w:p>
        </w:tc>
      </w:tr>
      <w:tr>
        <w:tc>
          <w:tcPr>
            <w:tcW w:type="dxa" w:w="7370"/>
          </w:tcPr>
          <w:p>
            <w:r/>
            <w:r>
              <w:rPr>
                <w:b w:val="0"/>
                <w:i w:val="0"/>
                <w:sz w:val="20"/>
              </w:rPr>
              <w:t>Empire-building or dependency-creating leadership that won't build succession</w:t>
            </w:r>
          </w:p>
        </w:tc>
        <w:tc>
          <w:tcPr>
            <w:tcW w:type="dxa" w:w="2211"/>
          </w:tcPr>
          <w:p>
            <w:r/>
            <w:r>
              <w:rPr>
                <w:b w:val="0"/>
                <w:i w:val="0"/>
                <w:sz w:val="20"/>
              </w:rPr>
            </w:r>
          </w:p>
        </w:tc>
      </w:tr>
      <w:tr>
        <w:tc>
          <w:tcPr>
            <w:tcW w:type="dxa" w:w="7370"/>
          </w:tcPr>
          <w:p>
            <w:r/>
            <w:r>
              <w:rPr>
                <w:b w:val="0"/>
                <w:i w:val="0"/>
                <w:sz w:val="20"/>
              </w:rPr>
              <w:t>Loss of command or poor prioritisation demonstrated under crisis</w:t>
            </w:r>
          </w:p>
        </w:tc>
        <w:tc>
          <w:tcPr>
            <w:tcW w:type="dxa" w:w="2211"/>
          </w:tcPr>
          <w:p>
            <w:r/>
            <w:r>
              <w:rPr>
                <w:b w:val="0"/>
                <w:i w:val="0"/>
                <w:sz w:val="20"/>
              </w:rPr>
            </w:r>
          </w:p>
        </w:tc>
      </w:tr>
    </w:tbl>
    <w:p>
      <w:r>
        <w:br w:type="page"/>
      </w:r>
    </w:p>
    <w:p>
      <w:pPr>
        <w:spacing w:before="200" w:after="80"/>
      </w:pPr>
      <w:r>
        <w:rPr>
          <w:b/>
          <w:color w:val="1F5C2D"/>
          <w:sz w:val="24"/>
        </w:rPr>
        <w:t>Section B — Documented Evidence Review (scored from records, not opinion)</w:t>
      </w:r>
    </w:p>
    <w:p>
      <w:pPr>
        <w:spacing w:after="80"/>
      </w:pPr>
      <w:r>
        <w:rPr>
          <w:b w:val="0"/>
          <w:i/>
          <w:sz w:val="19"/>
        </w:rPr>
        <w:t>Score each from the attached appraisals, KPI reports, compliance logs, and skills log. Cite the source in Comments — this section rewards a proven track record, not interview performance.</w:t>
      </w:r>
    </w:p>
    <w:tbl>
      <w:tblPr>
        <w:tblStyle w:val="TableGrid"/>
        <w:tblW w:type="auto" w:w="0"/>
        <w:jc w:val="center"/>
        <w:tblLayout w:type="fixed"/>
        <w:tblLook w:firstColumn="1" w:firstRow="1" w:lastColumn="0" w:lastRow="0" w:noHBand="0" w:noVBand="1" w:val="04A0"/>
        <w:tblLayout w:type="fixed"/>
      </w:tblPr>
      <w:tblGrid>
        <w:gridCol w:w="4536"/>
        <w:gridCol w:w="1474"/>
        <w:gridCol w:w="3855"/>
      </w:tblGrid>
      <w:tr>
        <w:tc>
          <w:tcPr>
            <w:tcW w:type="dxa" w:w="4535"/>
            <w:shd w:val="clear" w:fill="D9E5DC"/>
          </w:tcPr>
          <w:p>
            <w:r/>
            <w:r>
              <w:rPr>
                <w:b/>
                <w:i w:val="0"/>
                <w:sz w:val="20"/>
              </w:rPr>
              <w:t>Evidence Area</w:t>
            </w:r>
          </w:p>
        </w:tc>
        <w:tc>
          <w:tcPr>
            <w:tcW w:type="dxa" w:w="1474"/>
            <w:shd w:val="clear" w:fill="D9E5DC"/>
          </w:tcPr>
          <w:p>
            <w:r/>
            <w:r>
              <w:rPr>
                <w:b/>
                <w:i w:val="0"/>
                <w:sz w:val="20"/>
              </w:rPr>
              <w:t>Rating (1–5)</w:t>
            </w:r>
          </w:p>
        </w:tc>
        <w:tc>
          <w:tcPr>
            <w:tcW w:type="dxa" w:w="3855"/>
            <w:shd w:val="clear" w:fill="D9E5DC"/>
          </w:tcPr>
          <w:p>
            <w:r/>
            <w:r>
              <w:rPr>
                <w:b/>
                <w:i w:val="0"/>
                <w:sz w:val="20"/>
              </w:rPr>
              <w:t>Source / Comments</w:t>
            </w:r>
          </w:p>
        </w:tc>
      </w:tr>
      <w:tr>
        <w:tc>
          <w:tcPr>
            <w:tcW w:type="dxa" w:w="4535"/>
          </w:tcPr>
          <w:p>
            <w:r/>
            <w:r>
              <w:rPr>
                <w:b w:val="0"/>
                <w:i w:val="0"/>
                <w:sz w:val="20"/>
              </w:rPr>
              <w:t>Farm-wide operational stability and Breeding-KPI-Library performance (year)</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Resource and budget discipline as L6</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Leadership and talent-development / succession outcomes</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Compliance, biosecurity, tier-discipline, and welfare standards upheld</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Management reporting quality and governance discipline</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Cross-functional leadership (technical + people) evidence</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Overall annual appraisal trend and executive-readiness rating</w:t>
            </w:r>
          </w:p>
        </w:tc>
        <w:tc>
          <w:tcPr>
            <w:tcW w:type="dxa" w:w="1474"/>
          </w:tcPr>
          <w:p>
            <w:r/>
            <w:r>
              <w:rPr>
                <w:b w:val="0"/>
                <w:i w:val="0"/>
                <w:sz w:val="20"/>
              </w:rPr>
            </w:r>
          </w:p>
        </w:tc>
        <w:tc>
          <w:tcPr>
            <w:tcW w:type="dxa" w:w="3855"/>
          </w:tcPr>
          <w:p>
            <w:r/>
            <w:r>
              <w:rPr>
                <w:b w:val="0"/>
                <w:i w:val="0"/>
                <w:sz w:val="20"/>
              </w:rPr>
            </w:r>
          </w:p>
        </w:tc>
      </w:tr>
    </w:tbl>
    <w:p>
      <w:pPr>
        <w:spacing w:before="200" w:after="80"/>
      </w:pPr>
      <w:r>
        <w:rPr>
          <w:b/>
          <w:color w:val="1F5C2D"/>
          <w:sz w:val="24"/>
        </w:rPr>
        <w:t>Section C — New-Level (L7) Enterprise-Leadership Readiness Sign-Off</w:t>
      </w:r>
    </w:p>
    <w:p>
      <w:pPr>
        <w:spacing w:after="80"/>
      </w:pPr>
      <w:r>
        <w:rPr>
          <w:b w:val="0"/>
          <w:i/>
          <w:sz w:val="19"/>
        </w:rPr>
        <w:t>Three-stage sign-off per Section 13.1. Tick the highest stage reached for each new-level competency and record the verifier and date. “Performed Consistently to Standard” is the bar for promotion readiness on core duties.</w:t>
      </w:r>
    </w:p>
    <w:tbl>
      <w:tblPr>
        <w:tblStyle w:val="TableGrid"/>
        <w:tblW w:type="auto" w:w="0"/>
        <w:jc w:val="center"/>
        <w:tblLayout w:type="fixed"/>
        <w:tblLook w:firstColumn="1" w:firstRow="1" w:lastColumn="0" w:lastRow="0" w:noHBand="0" w:noVBand="1" w:val="04A0"/>
        <w:tblLayout w:type="fixed"/>
      </w:tblPr>
      <w:tblGrid>
        <w:gridCol w:w="3061"/>
        <w:gridCol w:w="1077"/>
        <w:gridCol w:w="1644"/>
        <w:gridCol w:w="1701"/>
        <w:gridCol w:w="1927"/>
      </w:tblGrid>
      <w:tr>
        <w:tc>
          <w:tcPr>
            <w:tcW w:type="dxa" w:w="3061"/>
            <w:shd w:val="clear" w:fill="D9E5DC"/>
          </w:tcPr>
          <w:p>
            <w:r/>
            <w:r>
              <w:rPr>
                <w:b/>
                <w:i w:val="0"/>
                <w:sz w:val="20"/>
              </w:rPr>
              <w:t>New-Level Competency</w:t>
            </w:r>
          </w:p>
        </w:tc>
        <w:tc>
          <w:tcPr>
            <w:tcW w:type="dxa" w:w="1077"/>
            <w:shd w:val="clear" w:fill="D9E5DC"/>
          </w:tcPr>
          <w:p>
            <w:r/>
            <w:r>
              <w:rPr>
                <w:b/>
                <w:i w:val="0"/>
                <w:sz w:val="20"/>
              </w:rPr>
              <w:t>Observed</w:t>
            </w:r>
          </w:p>
        </w:tc>
        <w:tc>
          <w:tcPr>
            <w:tcW w:type="dxa" w:w="1644"/>
            <w:shd w:val="clear" w:fill="D9E5DC"/>
          </w:tcPr>
          <w:p>
            <w:r/>
            <w:r>
              <w:rPr>
                <w:b/>
                <w:i w:val="0"/>
                <w:sz w:val="20"/>
              </w:rPr>
              <w:t>Performed Under Supervision</w:t>
            </w:r>
          </w:p>
        </w:tc>
        <w:tc>
          <w:tcPr>
            <w:tcW w:type="dxa" w:w="1701"/>
            <w:shd w:val="clear" w:fill="D9E5DC"/>
          </w:tcPr>
          <w:p>
            <w:r/>
            <w:r>
              <w:rPr>
                <w:b/>
                <w:i w:val="0"/>
                <w:sz w:val="20"/>
              </w:rPr>
              <w:t>Performed Consistently to Standard</w:t>
            </w:r>
          </w:p>
        </w:tc>
        <w:tc>
          <w:tcPr>
            <w:tcW w:type="dxa" w:w="1928"/>
            <w:shd w:val="clear" w:fill="D9E5DC"/>
          </w:tcPr>
          <w:p>
            <w:r/>
            <w:r>
              <w:rPr>
                <w:b/>
                <w:i w:val="0"/>
                <w:sz w:val="20"/>
              </w:rPr>
              <w:t>Verifier / Date</w:t>
            </w:r>
          </w:p>
        </w:tc>
      </w:tr>
      <w:tr>
        <w:tc>
          <w:tcPr>
            <w:tcW w:type="dxa" w:w="3061"/>
          </w:tcPr>
          <w:p>
            <w:r/>
            <w:r>
              <w:rPr>
                <w:b w:val="0"/>
                <w:i w:val="0"/>
                <w:sz w:val="20"/>
              </w:rPr>
              <w:t>Aligns production across breeding and grower-finisher with strategy</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Owns and drives enterprise KPIs across both operations</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Coordinates across separately operated units (boar/semen, dispatch, data, health)</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Allocates capital across facilities, genetics, systems, and people</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Protects biosecurity, tier-discipline, and genetics at enterprise level</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Builds the leadership pipeline and succession beneath the role</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Governs and reports to CEO/board with discipline and honesty</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Leads the enterprise through external shocks and crises</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bl>
    <w:p>
      <w:r>
        <w:br w:type="page"/>
      </w:r>
    </w:p>
    <w:p>
      <w:pPr>
        <w:spacing w:before="200" w:after="80"/>
      </w:pPr>
      <w:r>
        <w:rPr>
          <w:b/>
          <w:color w:val="1F5C2D"/>
          <w:sz w:val="24"/>
        </w:rPr>
        <w:t>Section D — Forward-Looking Readiness Interview</w:t>
      </w:r>
    </w:p>
    <w:p>
      <w:pPr>
        <w:spacing w:after="80"/>
      </w:pPr>
      <w:r>
        <w:rPr>
          <w:b w:val="0"/>
          <w:i/>
          <w:sz w:val="19"/>
        </w:rPr>
        <w:t>Use a strategic presentation and live cases; test enterprise judgement, governance, and integrity. Allow 75–90 min.</w:t>
      </w:r>
    </w:p>
    <w:p>
      <w:pPr>
        <w:spacing w:before="200" w:after="80"/>
      </w:pPr>
      <w:r>
        <w:rPr>
          <w:b/>
          <w:color w:val="1F5C2D"/>
          <w:sz w:val="22"/>
        </w:rPr>
        <w:t>D1. Strategy and Enterprise Coordination</w:t>
      </w:r>
    </w:p>
    <w:p>
      <w:pPr>
        <w:spacing w:before="160" w:after="40"/>
      </w:pPr>
      <w:r>
        <w:rPr>
          <w:b/>
        </w:rPr>
        <w:t xml:space="preserve">Q1. </w:t>
      </w:r>
      <w:r>
        <w:rPr>
          <w:b/>
        </w:rPr>
        <w:t>How would you align daily production across breeding and grower-finisher with the three-year growth strategy?</w:t>
      </w:r>
    </w:p>
    <w:p>
      <w:pPr>
        <w:spacing w:after="40"/>
      </w:pPr>
      <w:r>
        <w:rPr>
          <w:i/>
          <w:color w:val="404040"/>
          <w:sz w:val="19"/>
        </w:rPr>
        <w:t>Look for: Connects strategy to plans, KPIs, capital, and people; sees the whole enterprise; sequences growth.</w:t>
      </w:r>
    </w:p>
    <w:p>
      <w:pPr>
        <w:spacing w:after="120"/>
      </w:pPr>
      <w:r>
        <w:rPr>
          <w:sz w:val="19"/>
        </w:rPr>
        <w:t>Rating:  1    2    3    4    5        Notes: _______________________________________________</w:t>
      </w:r>
    </w:p>
    <w:p>
      <w:pPr>
        <w:spacing w:before="160" w:after="40"/>
      </w:pPr>
      <w:r>
        <w:rPr>
          <w:b/>
        </w:rPr>
        <w:t xml:space="preserve">Q2. </w:t>
      </w:r>
      <w:r>
        <w:rPr>
          <w:b/>
        </w:rPr>
        <w:t>How do you coordinate the separately operated units to run as one system?</w:t>
      </w:r>
    </w:p>
    <w:p>
      <w:pPr>
        <w:spacing w:after="40"/>
      </w:pPr>
      <w:r>
        <w:rPr>
          <w:i/>
          <w:color w:val="404040"/>
          <w:sz w:val="19"/>
        </w:rPr>
        <w:t>Look for: Clear interfaces, SLAs, shared data, governance; integrates output while respecting boundaries.</w:t>
      </w:r>
    </w:p>
    <w:p>
      <w:pPr>
        <w:spacing w:after="120"/>
      </w:pPr>
      <w:r>
        <w:rPr>
          <w:sz w:val="19"/>
        </w:rPr>
        <w:t>Rating:  1    2    3    4    5        Notes: _______________________________________________</w:t>
      </w:r>
    </w:p>
    <w:p>
      <w:pPr>
        <w:spacing w:before="200" w:after="80"/>
      </w:pPr>
      <w:r>
        <w:rPr>
          <w:b/>
          <w:color w:val="1F5C2D"/>
          <w:sz w:val="22"/>
        </w:rPr>
        <w:t>D2. Performance, Capital, and Governance</w:t>
      </w:r>
    </w:p>
    <w:p>
      <w:pPr>
        <w:spacing w:before="160" w:after="40"/>
      </w:pPr>
      <w:r>
        <w:rPr>
          <w:b/>
        </w:rPr>
        <w:t xml:space="preserve">Q3. </w:t>
      </w:r>
      <w:r>
        <w:rPr>
          <w:b/>
        </w:rPr>
        <w:t>Which enterprise KPIs would you own, and how would you drive them across both operations?</w:t>
      </w:r>
    </w:p>
    <w:p>
      <w:pPr>
        <w:spacing w:after="40"/>
      </w:pPr>
      <w:r>
        <w:rPr>
          <w:i/>
          <w:color w:val="404040"/>
          <w:sz w:val="19"/>
        </w:rPr>
        <w:t>Look for: Reproductive, growth, dispatch, cost, welfare, compliance; cascades targets; holds managers accountable.</w:t>
      </w:r>
    </w:p>
    <w:p>
      <w:pPr>
        <w:spacing w:after="120"/>
      </w:pPr>
      <w:r>
        <w:rPr>
          <w:sz w:val="19"/>
        </w:rPr>
        <w:t>Rating:  1    2    3    4    5        Notes: _______________________________________________</w:t>
      </w:r>
    </w:p>
    <w:p>
      <w:pPr>
        <w:spacing w:before="160" w:after="40"/>
      </w:pPr>
      <w:r>
        <w:rPr>
          <w:b/>
        </w:rPr>
        <w:t xml:space="preserve">Q4. </w:t>
      </w:r>
      <w:r>
        <w:rPr>
          <w:b/>
        </w:rPr>
        <w:t>How do you report and govern to the CEO and board, especially on bad news?</w:t>
      </w:r>
    </w:p>
    <w:p>
      <w:pPr>
        <w:spacing w:after="40"/>
      </w:pPr>
      <w:r>
        <w:rPr>
          <w:i/>
          <w:color w:val="404040"/>
          <w:sz w:val="19"/>
        </w:rPr>
        <w:t>Look for: Disciplined, transparent, no-surprises reporting; honest on setbacks with a plan. Governance maturity.</w:t>
      </w:r>
    </w:p>
    <w:p>
      <w:pPr>
        <w:spacing w:after="120"/>
      </w:pPr>
      <w:r>
        <w:rPr>
          <w:sz w:val="19"/>
        </w:rPr>
        <w:t>Rating:  1    2    3    4    5        Notes: _______________________________________________</w:t>
      </w:r>
    </w:p>
    <w:p>
      <w:pPr>
        <w:spacing w:before="200" w:after="80"/>
      </w:pPr>
      <w:r>
        <w:rPr>
          <w:b/>
          <w:color w:val="1F5C2D"/>
          <w:sz w:val="22"/>
        </w:rPr>
        <w:t>D3. Integrity and Crisis Leadership</w:t>
      </w:r>
    </w:p>
    <w:p>
      <w:pPr>
        <w:spacing w:before="160" w:after="40"/>
      </w:pPr>
      <w:r>
        <w:rPr>
          <w:b/>
        </w:rPr>
        <w:t xml:space="preserve">Q5. </w:t>
      </w:r>
      <w:r>
        <w:rPr>
          <w:b/>
        </w:rPr>
        <w:t>A strategic target is achievable only by cutting a genetic-integrity or welfare corner. What do you do?</w:t>
      </w:r>
    </w:p>
    <w:p>
      <w:pPr>
        <w:spacing w:after="40"/>
      </w:pPr>
      <w:r>
        <w:rPr>
          <w:i/>
          <w:color w:val="404040"/>
          <w:sz w:val="19"/>
        </w:rPr>
        <w:t>Look for: Refuses; protects the core asset; finds another path or resets the target honestly. The defining test.</w:t>
      </w:r>
    </w:p>
    <w:p>
      <w:pPr>
        <w:spacing w:after="120"/>
      </w:pPr>
      <w:r>
        <w:rPr>
          <w:sz w:val="19"/>
        </w:rPr>
        <w:t>Rating:  1    2    3    4    5        Notes: _______________________________________________</w:t>
      </w:r>
    </w:p>
    <w:p>
      <w:pPr>
        <w:spacing w:before="160" w:after="40"/>
      </w:pPr>
      <w:r>
        <w:rPr>
          <w:b/>
        </w:rPr>
        <w:t xml:space="preserve">Q6. </w:t>
      </w:r>
      <w:r>
        <w:rPr>
          <w:b/>
        </w:rPr>
        <w:t>Lead us through your response to an enterprise-level disease outbreak plus a key-person loss in the same month.</w:t>
      </w:r>
    </w:p>
    <w:p>
      <w:pPr>
        <w:spacing w:after="40"/>
      </w:pPr>
      <w:r>
        <w:rPr>
          <w:i/>
          <w:color w:val="404040"/>
          <w:sz w:val="19"/>
        </w:rPr>
        <w:t>Look for: Calm command; prioritisation; Vet and team mobilisation; continuity; communication; recovery plan.</w:t>
      </w:r>
    </w:p>
    <w:p>
      <w:pPr>
        <w:spacing w:after="120"/>
      </w:pPr>
      <w:r>
        <w:rPr>
          <w:sz w:val="19"/>
        </w:rPr>
        <w:t>Rating:  1    2    3    4    5        Notes: _______________________________________________</w:t>
      </w:r>
    </w:p>
    <w:p>
      <w:r>
        <w:br w:type="page"/>
      </w:r>
    </w:p>
    <w:p>
      <w:pPr>
        <w:spacing w:before="200" w:after="80"/>
      </w:pPr>
      <w:r>
        <w:rPr>
          <w:b/>
          <w:color w:val="1F5C2D"/>
          <w:sz w:val="24"/>
        </w:rPr>
        <w:t>Section E — Readiness Summary and Panel Decision</w:t>
      </w:r>
    </w:p>
    <w:p>
      <w:pPr>
        <w:spacing w:after="80"/>
      </w:pPr>
      <w:r>
        <w:rPr>
          <w:b w:val="0"/>
          <w:i/>
          <w:sz w:val="19"/>
        </w:rPr>
        <w:t>Weighted score = average rating × weight. Maximum total = 5.00. Readiness is a judgement of whether the employee can perform at the NEXT level now, not how well they perform at their current level.</w:t>
      </w:r>
    </w:p>
    <w:tbl>
      <w:tblPr>
        <w:tblStyle w:val="TableGrid"/>
        <w:tblW w:type="auto" w:w="0"/>
        <w:jc w:val="center"/>
        <w:tblLayout w:type="fixed"/>
        <w:tblLook w:firstColumn="1" w:firstRow="1" w:lastColumn="0" w:lastRow="0" w:noHBand="0" w:noVBand="1" w:val="04A0"/>
        <w:tblLayout w:type="fixed"/>
      </w:tblPr>
      <w:tblGrid>
        <w:gridCol w:w="3515"/>
        <w:gridCol w:w="1247"/>
        <w:gridCol w:w="1587"/>
        <w:gridCol w:w="963"/>
        <w:gridCol w:w="2268"/>
      </w:tblGrid>
      <w:tr>
        <w:tc>
          <w:tcPr>
            <w:tcW w:type="dxa" w:w="3515"/>
            <w:shd w:val="clear" w:fill="D9E5DC"/>
          </w:tcPr>
          <w:p>
            <w:r/>
            <w:r>
              <w:rPr>
                <w:b/>
                <w:i w:val="0"/>
                <w:sz w:val="20"/>
              </w:rPr>
              <w:t>Readiness Area</w:t>
            </w:r>
          </w:p>
        </w:tc>
        <w:tc>
          <w:tcPr>
            <w:tcW w:type="dxa" w:w="1247"/>
            <w:shd w:val="clear" w:fill="D9E5DC"/>
          </w:tcPr>
          <w:p>
            <w:r/>
            <w:r>
              <w:rPr>
                <w:b/>
                <w:i w:val="0"/>
                <w:sz w:val="20"/>
              </w:rPr>
              <w:t>Reference</w:t>
            </w:r>
          </w:p>
        </w:tc>
        <w:tc>
          <w:tcPr>
            <w:tcW w:type="dxa" w:w="1587"/>
            <w:shd w:val="clear" w:fill="D9E5DC"/>
          </w:tcPr>
          <w:p>
            <w:r/>
            <w:r>
              <w:rPr>
                <w:b/>
                <w:i w:val="0"/>
                <w:sz w:val="20"/>
              </w:rPr>
              <w:t>Avg. Rating (1–5)</w:t>
            </w:r>
          </w:p>
        </w:tc>
        <w:tc>
          <w:tcPr>
            <w:tcW w:type="dxa" w:w="964"/>
            <w:shd w:val="clear" w:fill="D9E5DC"/>
          </w:tcPr>
          <w:p>
            <w:r/>
            <w:r>
              <w:rPr>
                <w:b/>
                <w:i w:val="0"/>
                <w:sz w:val="20"/>
              </w:rPr>
              <w:t>Weight</w:t>
            </w:r>
          </w:p>
        </w:tc>
        <w:tc>
          <w:tcPr>
            <w:tcW w:type="dxa" w:w="2268"/>
            <w:shd w:val="clear" w:fill="D9E5DC"/>
          </w:tcPr>
          <w:p>
            <w:r/>
            <w:r>
              <w:rPr>
                <w:b/>
                <w:i w:val="0"/>
                <w:sz w:val="20"/>
              </w:rPr>
              <w:t>Weighted Score</w:t>
            </w:r>
          </w:p>
        </w:tc>
      </w:tr>
      <w:tr>
        <w:tc>
          <w:tcPr>
            <w:tcW w:type="dxa" w:w="3515"/>
          </w:tcPr>
          <w:p>
            <w:r/>
            <w:r>
              <w:rPr>
                <w:b w:val="0"/>
                <w:i w:val="0"/>
                <w:sz w:val="20"/>
              </w:rPr>
              <w:t>Section B — documented evidence review</w:t>
            </w:r>
          </w:p>
        </w:tc>
        <w:tc>
          <w:tcPr>
            <w:tcW w:type="dxa" w:w="1247"/>
          </w:tcPr>
          <w:p>
            <w:r/>
            <w:r>
              <w:rPr>
                <w:b w:val="0"/>
                <w:i w:val="0"/>
                <w:sz w:val="20"/>
              </w:rPr>
              <w:t>B1–B7</w:t>
            </w:r>
          </w:p>
        </w:tc>
        <w:tc>
          <w:tcPr>
            <w:tcW w:type="dxa" w:w="1587"/>
          </w:tcPr>
          <w:p>
            <w:r/>
            <w:r>
              <w:rPr>
                <w:b w:val="0"/>
                <w:i w:val="0"/>
                <w:sz w:val="20"/>
              </w:rPr>
            </w:r>
          </w:p>
        </w:tc>
        <w:tc>
          <w:tcPr>
            <w:tcW w:type="dxa" w:w="964"/>
          </w:tcPr>
          <w:p>
            <w:r/>
            <w:r>
              <w:rPr>
                <w:b w:val="0"/>
                <w:i w:val="0"/>
                <w:sz w:val="20"/>
              </w:rPr>
              <w:t>35%</w:t>
            </w:r>
          </w:p>
        </w:tc>
        <w:tc>
          <w:tcPr>
            <w:tcW w:type="dxa" w:w="2268"/>
          </w:tcPr>
          <w:p>
            <w:r/>
            <w:r>
              <w:rPr>
                <w:b w:val="0"/>
                <w:i w:val="0"/>
                <w:sz w:val="20"/>
              </w:rPr>
            </w:r>
          </w:p>
        </w:tc>
      </w:tr>
      <w:tr>
        <w:tc>
          <w:tcPr>
            <w:tcW w:type="dxa" w:w="3515"/>
          </w:tcPr>
          <w:p>
            <w:r/>
            <w:r>
              <w:rPr>
                <w:b w:val="0"/>
                <w:i w:val="0"/>
                <w:sz w:val="20"/>
              </w:rPr>
              <w:t>Section C — L7 enterprise-readiness skills log</w:t>
            </w:r>
          </w:p>
        </w:tc>
        <w:tc>
          <w:tcPr>
            <w:tcW w:type="dxa" w:w="1247"/>
          </w:tcPr>
          <w:p>
            <w:r/>
            <w:r>
              <w:rPr>
                <w:b w:val="0"/>
                <w:i w:val="0"/>
                <w:sz w:val="20"/>
              </w:rPr>
              <w:t>Skills log</w:t>
            </w:r>
          </w:p>
        </w:tc>
        <w:tc>
          <w:tcPr>
            <w:tcW w:type="dxa" w:w="1587"/>
          </w:tcPr>
          <w:p>
            <w:r/>
            <w:r>
              <w:rPr>
                <w:b w:val="0"/>
                <w:i w:val="0"/>
                <w:sz w:val="20"/>
              </w:rPr>
            </w:r>
          </w:p>
        </w:tc>
        <w:tc>
          <w:tcPr>
            <w:tcW w:type="dxa" w:w="964"/>
          </w:tcPr>
          <w:p>
            <w:r/>
            <w:r>
              <w:rPr>
                <w:b w:val="0"/>
                <w:i w:val="0"/>
                <w:sz w:val="20"/>
              </w:rPr>
              <w:t>25%</w:t>
            </w:r>
          </w:p>
        </w:tc>
        <w:tc>
          <w:tcPr>
            <w:tcW w:type="dxa" w:w="2268"/>
          </w:tcPr>
          <w:p>
            <w:r/>
            <w:r>
              <w:rPr>
                <w:b w:val="0"/>
                <w:i w:val="0"/>
                <w:sz w:val="20"/>
              </w:rPr>
            </w:r>
          </w:p>
        </w:tc>
      </w:tr>
      <w:tr>
        <w:tc>
          <w:tcPr>
            <w:tcW w:type="dxa" w:w="3515"/>
          </w:tcPr>
          <w:p>
            <w:r/>
            <w:r>
              <w:rPr>
                <w:b w:val="0"/>
                <w:i w:val="0"/>
                <w:sz w:val="20"/>
              </w:rPr>
              <w:t>Section D — strategic presentation / case</w:t>
            </w:r>
          </w:p>
        </w:tc>
        <w:tc>
          <w:tcPr>
            <w:tcW w:type="dxa" w:w="1247"/>
          </w:tcPr>
          <w:p>
            <w:r/>
            <w:r>
              <w:rPr>
                <w:b w:val="0"/>
                <w:i w:val="0"/>
                <w:sz w:val="20"/>
              </w:rPr>
              <w:t>D1–D3</w:t>
            </w:r>
          </w:p>
        </w:tc>
        <w:tc>
          <w:tcPr>
            <w:tcW w:type="dxa" w:w="1587"/>
          </w:tcPr>
          <w:p>
            <w:r/>
            <w:r>
              <w:rPr>
                <w:b w:val="0"/>
                <w:i w:val="0"/>
                <w:sz w:val="20"/>
              </w:rPr>
            </w:r>
          </w:p>
        </w:tc>
        <w:tc>
          <w:tcPr>
            <w:tcW w:type="dxa" w:w="964"/>
          </w:tcPr>
          <w:p>
            <w:r/>
            <w:r>
              <w:rPr>
                <w:b w:val="0"/>
                <w:i w:val="0"/>
                <w:sz w:val="20"/>
              </w:rPr>
              <w:t>40%</w:t>
            </w:r>
          </w:p>
        </w:tc>
        <w:tc>
          <w:tcPr>
            <w:tcW w:type="dxa" w:w="2268"/>
          </w:tcPr>
          <w:p>
            <w:r/>
            <w:r>
              <w:rPr>
                <w:b w:val="0"/>
                <w:i w:val="0"/>
                <w:sz w:val="20"/>
              </w:rPr>
            </w:r>
          </w:p>
        </w:tc>
      </w:tr>
      <w:tr>
        <w:tc>
          <w:tcPr>
            <w:tcW w:type="dxa" w:w="3515"/>
          </w:tcPr>
          <w:p>
            <w:r/>
            <w:r>
              <w:rPr>
                <w:b w:val="0"/>
                <w:i w:val="0"/>
                <w:sz w:val="20"/>
              </w:rPr>
              <w:t>TOTAL</w:t>
            </w:r>
          </w:p>
        </w:tc>
        <w:tc>
          <w:tcPr>
            <w:tcW w:type="dxa" w:w="1247"/>
          </w:tcPr>
          <w:p>
            <w:r/>
            <w:r>
              <w:rPr>
                <w:b w:val="0"/>
                <w:i w:val="0"/>
                <w:sz w:val="20"/>
              </w:rPr>
            </w:r>
          </w:p>
        </w:tc>
        <w:tc>
          <w:tcPr>
            <w:tcW w:type="dxa" w:w="1587"/>
          </w:tcPr>
          <w:p>
            <w:r/>
            <w:r>
              <w:rPr>
                <w:b w:val="0"/>
                <w:i w:val="0"/>
                <w:sz w:val="20"/>
              </w:rPr>
            </w:r>
          </w:p>
        </w:tc>
        <w:tc>
          <w:tcPr>
            <w:tcW w:type="dxa" w:w="964"/>
          </w:tcPr>
          <w:p>
            <w:r/>
            <w:r>
              <w:rPr>
                <w:b w:val="0"/>
                <w:i w:val="0"/>
                <w:sz w:val="20"/>
              </w:rPr>
              <w:t>100%</w:t>
            </w:r>
          </w:p>
        </w:tc>
        <w:tc>
          <w:tcPr>
            <w:tcW w:type="dxa" w:w="2268"/>
          </w:tcPr>
          <w:p>
            <w:r/>
            <w:r>
              <w:rPr>
                <w:b w:val="0"/>
                <w:i w:val="0"/>
                <w:sz w:val="20"/>
              </w:rPr>
            </w:r>
          </w:p>
        </w:tc>
      </w:tr>
    </w:tbl>
    <w:p>
      <w:pPr>
        <w:spacing w:after="80"/>
      </w:pPr>
      <w:r>
        <w:rPr>
          <w:b w:val="0"/>
          <w:i w:val="0"/>
          <w:sz w:val="19"/>
        </w:rPr>
        <w:t>Interpretation: 4.0+ — strong succession candidate, promote; 3.3–3.9 — promote with a structured transition and board endorsement; 2.8–3.2 — defer, give acting/enterprise exposure; below 2.8 — retain at L6 with development plan. This is an executive appointment — verify the track record and integrity through references before deciding.</w:t>
      </w:r>
    </w:p>
    <w:p>
      <w:pPr>
        <w:spacing w:before="200" w:after="80"/>
      </w:pPr>
      <w:r>
        <w:rPr>
          <w:b/>
          <w:color w:val="1F5C2D"/>
          <w:sz w:val="22"/>
        </w:rPr>
        <w:t>Panel Decision (Part III — tick one)</w:t>
      </w:r>
    </w:p>
    <w:tbl>
      <w:tblPr>
        <w:tblStyle w:val="TableGrid"/>
        <w:tblW w:type="auto" w:w="0"/>
        <w:jc w:val="center"/>
        <w:tblLayout w:type="fixed"/>
        <w:tblLook w:firstColumn="1" w:firstRow="1" w:lastColumn="0" w:lastRow="0" w:noHBand="0" w:noVBand="1" w:val="04A0"/>
        <w:tblLayout w:type="fixed"/>
      </w:tblPr>
      <w:tblGrid>
        <w:gridCol w:w="3175"/>
        <w:gridCol w:w="3175"/>
        <w:gridCol w:w="3175"/>
      </w:tblGrid>
      <w:tr>
        <w:tc>
          <w:tcPr>
            <w:tcW w:type="dxa" w:w="3175"/>
          </w:tcPr>
          <w:p>
            <w:r/>
            <w:r>
              <w:rPr>
                <w:b w:val="0"/>
                <w:i w:val="0"/>
                <w:sz w:val="20"/>
              </w:rPr>
              <w:t>Promote  ☐</w:t>
            </w:r>
          </w:p>
        </w:tc>
        <w:tc>
          <w:tcPr>
            <w:tcW w:type="dxa" w:w="3175"/>
          </w:tcPr>
          <w:p>
            <w:r/>
            <w:r>
              <w:rPr>
                <w:b w:val="0"/>
                <w:i w:val="0"/>
                <w:sz w:val="20"/>
              </w:rPr>
              <w:t>Promote with conditions  ☐</w:t>
            </w:r>
          </w:p>
        </w:tc>
        <w:tc>
          <w:tcPr>
            <w:tcW w:type="dxa" w:w="3175"/>
          </w:tcPr>
          <w:p>
            <w:r/>
            <w:r>
              <w:rPr>
                <w:b w:val="0"/>
                <w:i w:val="0"/>
                <w:sz w:val="20"/>
              </w:rPr>
              <w:t>Defer pending skills completion  ☐</w:t>
            </w:r>
          </w:p>
        </w:tc>
      </w:tr>
      <w:tr>
        <w:tc>
          <w:tcPr>
            <w:tcW w:type="dxa" w:w="3175"/>
          </w:tcPr>
          <w:p>
            <w:r/>
            <w:r>
              <w:rPr>
                <w:b w:val="0"/>
                <w:i w:val="0"/>
                <w:sz w:val="20"/>
              </w:rPr>
              <w:t>Retain in current role with improvement plan  ☐</w:t>
            </w:r>
          </w:p>
        </w:tc>
        <w:tc>
          <w:tcPr>
            <w:tcW w:type="dxa" w:w="3175"/>
          </w:tcPr>
          <w:p>
            <w:r/>
            <w:r>
              <w:rPr>
                <w:b w:val="0"/>
                <w:i w:val="0"/>
                <w:sz w:val="20"/>
              </w:rPr>
              <w:t>Not promotion-ready  ☐</w:t>
            </w:r>
          </w:p>
        </w:tc>
        <w:tc>
          <w:tcPr>
            <w:tcW w:type="dxa" w:w="3175"/>
          </w:tcPr>
          <w:p>
            <w:r/>
            <w:r>
              <w:rPr>
                <w:b w:val="0"/>
                <w:i w:val="0"/>
                <w:sz w:val="20"/>
              </w:rPr>
            </w:r>
          </w:p>
        </w:tc>
      </w:tr>
    </w:tbl>
    <w:p>
      <w:pPr>
        <w:spacing w:before="200" w:after="80"/>
      </w:pPr>
      <w:r>
        <w:rPr>
          <w:b/>
          <w:color w:val="1F5C2D"/>
          <w:sz w:val="22"/>
        </w:rPr>
        <w:t>Development Plan / Conditions (if Deferred, Conditional, or Retained)</w:t>
      </w:r>
    </w:p>
    <w:tbl>
      <w:tblPr>
        <w:tblStyle w:val="TableGrid"/>
        <w:tblW w:type="auto" w:w="0"/>
        <w:jc w:val="center"/>
        <w:tblLayout w:type="fixed"/>
        <w:tblLook w:firstColumn="1" w:firstRow="1" w:lastColumn="0" w:lastRow="0" w:noHBand="0" w:noVBand="1" w:val="04A0"/>
        <w:tblLayout w:type="fixed"/>
      </w:tblPr>
      <w:tblGrid>
        <w:gridCol w:w="3402"/>
        <w:gridCol w:w="6180"/>
      </w:tblGrid>
      <w:tr>
        <w:tc>
          <w:tcPr>
            <w:tcW w:type="dxa" w:w="3402"/>
          </w:tcPr>
          <w:p>
            <w:r/>
            <w:r>
              <w:rPr>
                <w:b w:val="0"/>
                <w:i w:val="0"/>
                <w:sz w:val="20"/>
              </w:rPr>
              <w:t>Strengths confirmed:</w:t>
            </w:r>
          </w:p>
        </w:tc>
        <w:tc>
          <w:tcPr>
            <w:tcW w:type="dxa" w:w="6180"/>
          </w:tcPr>
          <w:p>
            <w:r/>
            <w:r>
              <w:rPr>
                <w:b w:val="0"/>
                <w:i w:val="0"/>
                <w:sz w:val="20"/>
              </w:rPr>
            </w:r>
          </w:p>
        </w:tc>
      </w:tr>
      <w:tr>
        <w:tc>
          <w:tcPr>
            <w:tcW w:type="dxa" w:w="3402"/>
          </w:tcPr>
          <w:p>
            <w:r/>
            <w:r>
              <w:rPr>
                <w:b w:val="0"/>
                <w:i w:val="0"/>
                <w:sz w:val="20"/>
              </w:rPr>
              <w:t>Gaps to close before next review:</w:t>
            </w:r>
          </w:p>
        </w:tc>
        <w:tc>
          <w:tcPr>
            <w:tcW w:type="dxa" w:w="6180"/>
          </w:tcPr>
          <w:p>
            <w:r/>
            <w:r>
              <w:rPr>
                <w:b w:val="0"/>
                <w:i w:val="0"/>
                <w:sz w:val="20"/>
              </w:rPr>
            </w:r>
          </w:p>
        </w:tc>
      </w:tr>
      <w:tr>
        <w:tc>
          <w:tcPr>
            <w:tcW w:type="dxa" w:w="3402"/>
          </w:tcPr>
          <w:p>
            <w:r/>
            <w:r>
              <w:rPr>
                <w:b w:val="0"/>
                <w:i w:val="0"/>
                <w:sz w:val="20"/>
              </w:rPr>
              <w:t>Agreed actions, owner, and target date:</w:t>
            </w:r>
          </w:p>
        </w:tc>
        <w:tc>
          <w:tcPr>
            <w:tcW w:type="dxa" w:w="6180"/>
          </w:tcPr>
          <w:p>
            <w:r/>
            <w:r>
              <w:rPr>
                <w:b w:val="0"/>
                <w:i w:val="0"/>
                <w:sz w:val="20"/>
              </w:rPr>
            </w:r>
          </w:p>
        </w:tc>
      </w:tr>
      <w:tr>
        <w:tc>
          <w:tcPr>
            <w:tcW w:type="dxa" w:w="3402"/>
          </w:tcPr>
          <w:p>
            <w:r/>
            <w:r>
              <w:rPr>
                <w:b w:val="0"/>
                <w:i w:val="0"/>
                <w:sz w:val="20"/>
              </w:rPr>
              <w:t>Date of next readiness review:</w:t>
            </w:r>
          </w:p>
        </w:tc>
        <w:tc>
          <w:tcPr>
            <w:tcW w:type="dxa" w:w="6180"/>
          </w:tcPr>
          <w:p>
            <w:r/>
            <w:r>
              <w:rPr>
                <w:b w:val="0"/>
                <w:i w:val="0"/>
                <w:sz w:val="20"/>
              </w:rPr>
            </w:r>
          </w:p>
        </w:tc>
      </w:tr>
    </w:tbl>
    <w:p>
      <w:pPr>
        <w:spacing w:before="200" w:after="80"/>
      </w:pPr>
      <w:r>
        <w:rPr>
          <w:b/>
          <w:color w:val="1F5C2D"/>
          <w:sz w:val="22"/>
        </w:rPr>
        <w:t>Sign-Off</w:t>
      </w:r>
    </w:p>
    <w:tbl>
      <w:tblPr>
        <w:tblStyle w:val="TableGrid"/>
        <w:tblW w:type="auto" w:w="0"/>
        <w:jc w:val="center"/>
        <w:tblLayout w:type="fixed"/>
        <w:tblLook w:firstColumn="1" w:firstRow="1" w:lastColumn="0" w:lastRow="0" w:noHBand="0" w:noVBand="1" w:val="04A0"/>
        <w:tblLayout w:type="fixed"/>
      </w:tblPr>
      <w:tblGrid>
        <w:gridCol w:w="4819"/>
        <w:gridCol w:w="4762"/>
      </w:tblGrid>
      <w:tr>
        <w:tc>
          <w:tcPr>
            <w:tcW w:type="dxa" w:w="4819"/>
          </w:tcPr>
          <w:p>
            <w:r/>
            <w:r>
              <w:rPr>
                <w:b w:val="0"/>
                <w:i w:val="0"/>
                <w:sz w:val="20"/>
              </w:rPr>
              <w:t>Chair (CEO) — Name / Signature / Date</w:t>
            </w:r>
          </w:p>
        </w:tc>
        <w:tc>
          <w:tcPr>
            <w:tcW w:type="dxa" w:w="4762"/>
          </w:tcPr>
          <w:p>
            <w:r/>
            <w:r>
              <w:rPr>
                <w:b w:val="0"/>
                <w:i w:val="0"/>
                <w:sz w:val="20"/>
              </w:rPr>
            </w:r>
          </w:p>
        </w:tc>
      </w:tr>
      <w:tr>
        <w:tc>
          <w:tcPr>
            <w:tcW w:type="dxa" w:w="4819"/>
          </w:tcPr>
          <w:p>
            <w:r/>
            <w:r>
              <w:rPr>
                <w:b w:val="0"/>
                <w:i w:val="0"/>
                <w:sz w:val="20"/>
              </w:rPr>
              <w:t>Board / Investor Representative — Name / Signature / Date</w:t>
            </w:r>
          </w:p>
        </w:tc>
        <w:tc>
          <w:tcPr>
            <w:tcW w:type="dxa" w:w="4762"/>
          </w:tcPr>
          <w:p>
            <w:r/>
            <w:r>
              <w:rPr>
                <w:b w:val="0"/>
                <w:i w:val="0"/>
                <w:sz w:val="20"/>
              </w:rPr>
            </w:r>
          </w:p>
        </w:tc>
      </w:tr>
      <w:tr>
        <w:tc>
          <w:tcPr>
            <w:tcW w:type="dxa" w:w="4819"/>
          </w:tcPr>
          <w:p>
            <w:r/>
            <w:r>
              <w:rPr>
                <w:b w:val="0"/>
                <w:i w:val="0"/>
                <w:sz w:val="20"/>
              </w:rPr>
              <w:t>Veterinarian / External Swine Expert — Name / Signature / Date</w:t>
            </w:r>
          </w:p>
        </w:tc>
        <w:tc>
          <w:tcPr>
            <w:tcW w:type="dxa" w:w="4762"/>
          </w:tcPr>
          <w:p>
            <w:r/>
            <w:r>
              <w:rPr>
                <w:b w:val="0"/>
                <w:i w:val="0"/>
                <w:sz w:val="20"/>
              </w:rPr>
            </w:r>
          </w:p>
        </w:tc>
      </w:tr>
      <w:tr>
        <w:tc>
          <w:tcPr>
            <w:tcW w:type="dxa" w:w="4819"/>
          </w:tcPr>
          <w:p>
            <w:r/>
            <w:r>
              <w:rPr>
                <w:b w:val="0"/>
                <w:i w:val="0"/>
                <w:sz w:val="20"/>
              </w:rPr>
              <w:t>Promotion Panel Decision (CEO / Board) — Name / Signature / Date</w:t>
            </w:r>
          </w:p>
        </w:tc>
        <w:tc>
          <w:tcPr>
            <w:tcW w:type="dxa" w:w="4762"/>
          </w:tcPr>
          <w:p>
            <w:r/>
            <w:r>
              <w:rPr>
                <w:b w:val="0"/>
                <w:i w:val="0"/>
                <w:sz w:val="20"/>
              </w:rPr>
            </w:r>
          </w:p>
        </w:tc>
      </w:tr>
    </w:tbl>
    <w:p>
      <w:pPr>
        <w:spacing w:before="200"/>
      </w:pPr>
      <w:r>
        <w:rPr>
          <w:i/>
          <w:sz w:val="17"/>
        </w:rPr>
        <w:t>Wills Farms Ltd. — Internal Use Only. This form is completed together by the immediate supervisor and reviewing manager; the four Quarterly Performance Reviews and the Annual Appraisal of the year, plus completed skills-log sign-offs, are mandatory attachments. HR collates; the promotion panel decides (per Section 13 and the Part III Promotion Assessment Form).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