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C2D"/>
          <w:sz w:val="32"/>
        </w:rPr>
        <w:t>WILLS FARMS LTD.</w:t>
      </w:r>
    </w:p>
    <w:p>
      <w:pPr>
        <w:jc w:val="center"/>
      </w:pPr>
      <w:r>
        <w:rPr>
          <w:b/>
          <w:sz w:val="26"/>
        </w:rPr>
        <w:t>Structured Interview Guide and Evaluation Sheet</w:t>
      </w:r>
    </w:p>
    <w:p>
      <w:pPr>
        <w:jc w:val="center"/>
      </w:pPr>
      <w:r>
        <w:rPr>
          <w:sz w:val="24"/>
        </w:rPr>
        <w:t>Assistant Farm Manager – Breeding (L5)</w:t>
      </w:r>
    </w:p>
    <w:p>
      <w:pPr>
        <w:jc w:val="center"/>
      </w:pPr>
      <w:r>
        <w:rPr>
          <w:i/>
          <w:sz w:val="18"/>
        </w:rPr>
        <w:t>Aligned to Breeding Operations HR Manual v2.1 (30 May 2026)</w:t>
      </w:r>
    </w:p>
    <w:tbl>
      <w:tblPr>
        <w:tblStyle w:val="TableGrid"/>
        <w:tblW w:type="auto" w:w="0"/>
        <w:jc w:val="center"/>
        <w:tblLayout w:type="fixed"/>
        <w:tblLook w:firstColumn="1" w:firstRow="1" w:lastColumn="0" w:lastRow="0" w:noHBand="0" w:noVBand="1" w:val="04A0"/>
        <w:tblLayout w:type="fixed"/>
      </w:tblPr>
      <w:tblGrid>
        <w:gridCol w:w="2381"/>
        <w:gridCol w:w="2438"/>
        <w:gridCol w:w="2381"/>
        <w:gridCol w:w="2438"/>
      </w:tblGrid>
      <w:tr>
        <w:tc>
          <w:tcPr>
            <w:tcW w:type="dxa" w:w="2381"/>
          </w:tcPr>
          <w:p>
            <w:r/>
            <w:r>
              <w:rPr>
                <w:b w:val="0"/>
                <w:i w:val="0"/>
                <w:sz w:val="20"/>
              </w:rPr>
              <w:t>Candidate Name:</w:t>
            </w:r>
          </w:p>
        </w:tc>
        <w:tc>
          <w:tcPr>
            <w:tcW w:type="dxa" w:w="2438"/>
          </w:tcPr>
          <w:p>
            <w:r/>
            <w:r>
              <w:rPr>
                <w:b w:val="0"/>
                <w:i w:val="0"/>
                <w:sz w:val="20"/>
              </w:rPr>
            </w:r>
          </w:p>
        </w:tc>
        <w:tc>
          <w:tcPr>
            <w:tcW w:type="dxa" w:w="2381"/>
          </w:tcPr>
          <w:p>
            <w:r/>
            <w:r>
              <w:rPr>
                <w:b w:val="0"/>
                <w:i w:val="0"/>
                <w:sz w:val="20"/>
              </w:rPr>
              <w:t>Date:</w:t>
            </w:r>
          </w:p>
        </w:tc>
        <w:tc>
          <w:tcPr>
            <w:tcW w:type="dxa" w:w="2438"/>
          </w:tcPr>
          <w:p>
            <w:r/>
            <w:r>
              <w:rPr>
                <w:b w:val="0"/>
                <w:i w:val="0"/>
                <w:sz w:val="20"/>
              </w:rPr>
            </w:r>
          </w:p>
        </w:tc>
      </w:tr>
      <w:tr>
        <w:tc>
          <w:tcPr>
            <w:tcW w:type="dxa" w:w="2381"/>
          </w:tcPr>
          <w:p>
            <w:r/>
            <w:r>
              <w:rPr>
                <w:b w:val="0"/>
                <w:i w:val="0"/>
                <w:sz w:val="20"/>
              </w:rPr>
              <w:t>Position Applied For:</w:t>
            </w:r>
          </w:p>
        </w:tc>
        <w:tc>
          <w:tcPr>
            <w:tcW w:type="dxa" w:w="2438"/>
          </w:tcPr>
          <w:p>
            <w:r/>
            <w:r>
              <w:rPr>
                <w:b w:val="0"/>
                <w:i w:val="0"/>
                <w:sz w:val="20"/>
              </w:rPr>
              <w:t>Assistant Farm Manager (L5)</w:t>
            </w:r>
          </w:p>
        </w:tc>
        <w:tc>
          <w:tcPr>
            <w:tcW w:type="dxa" w:w="2381"/>
          </w:tcPr>
          <w:p>
            <w:r/>
            <w:r>
              <w:rPr>
                <w:b w:val="0"/>
                <w:i w:val="0"/>
                <w:sz w:val="20"/>
              </w:rPr>
              <w:t>Interview Location:</w:t>
            </w:r>
          </w:p>
        </w:tc>
        <w:tc>
          <w:tcPr>
            <w:tcW w:type="dxa" w:w="2438"/>
          </w:tcPr>
          <w:p>
            <w:r/>
            <w:r>
              <w:rPr>
                <w:b w:val="0"/>
                <w:i w:val="0"/>
                <w:sz w:val="20"/>
              </w:rPr>
            </w:r>
          </w:p>
        </w:tc>
      </w:tr>
      <w:tr>
        <w:tc>
          <w:tcPr>
            <w:tcW w:type="dxa" w:w="2381"/>
          </w:tcPr>
          <w:p>
            <w:r/>
            <w:r>
              <w:rPr>
                <w:b w:val="0"/>
                <w:i w:val="0"/>
                <w:sz w:val="20"/>
              </w:rPr>
              <w:t>Panel Member 1 (Chair):</w:t>
            </w:r>
          </w:p>
        </w:tc>
        <w:tc>
          <w:tcPr>
            <w:tcW w:type="dxa" w:w="2438"/>
          </w:tcPr>
          <w:p>
            <w:r/>
            <w:r>
              <w:rPr>
                <w:b w:val="0"/>
                <w:i w:val="0"/>
                <w:sz w:val="20"/>
              </w:rPr>
            </w:r>
          </w:p>
        </w:tc>
        <w:tc>
          <w:tcPr>
            <w:tcW w:type="dxa" w:w="2381"/>
          </w:tcPr>
          <w:p>
            <w:r/>
            <w:r>
              <w:rPr>
                <w:b w:val="0"/>
                <w:i w:val="0"/>
                <w:sz w:val="20"/>
              </w:rPr>
              <w:t>Panel Member 2:</w:t>
            </w:r>
          </w:p>
        </w:tc>
        <w:tc>
          <w:tcPr>
            <w:tcW w:type="dxa" w:w="2438"/>
          </w:tcPr>
          <w:p>
            <w:r/>
            <w:r>
              <w:rPr>
                <w:b w:val="0"/>
                <w:i w:val="0"/>
                <w:sz w:val="20"/>
              </w:rPr>
            </w:r>
          </w:p>
        </w:tc>
      </w:tr>
      <w:tr>
        <w:tc>
          <w:tcPr>
            <w:tcW w:type="dxa" w:w="2381"/>
          </w:tcPr>
          <w:p>
            <w:r/>
            <w:r>
              <w:rPr>
                <w:b w:val="0"/>
                <w:i w:val="0"/>
                <w:sz w:val="20"/>
              </w:rPr>
              <w:t>Panel Member 3:</w:t>
            </w:r>
          </w:p>
        </w:tc>
        <w:tc>
          <w:tcPr>
            <w:tcW w:type="dxa" w:w="2438"/>
          </w:tcPr>
          <w:p>
            <w:r/>
            <w:r>
              <w:rPr>
                <w:b w:val="0"/>
                <w:i w:val="0"/>
                <w:sz w:val="20"/>
              </w:rPr>
            </w:r>
          </w:p>
        </w:tc>
        <w:tc>
          <w:tcPr>
            <w:tcW w:type="dxa" w:w="2381"/>
          </w:tcPr>
          <w:p>
            <w:r/>
            <w:r>
              <w:rPr>
                <w:b w:val="0"/>
                <w:i w:val="0"/>
                <w:sz w:val="20"/>
              </w:rPr>
              <w:t>Candidate Ref. No.:</w:t>
            </w:r>
          </w:p>
        </w:tc>
        <w:tc>
          <w:tcPr>
            <w:tcW w:type="dxa" w:w="2438"/>
          </w:tcPr>
          <w:p>
            <w:r/>
            <w:r>
              <w:rPr>
                <w:b w:val="0"/>
                <w:i w:val="0"/>
                <w:sz w:val="20"/>
              </w:rPr>
            </w:r>
          </w:p>
        </w:tc>
      </w:tr>
    </w:tbl>
    <w:p>
      <w:pPr>
        <w:spacing w:before="200" w:after="80"/>
      </w:pPr>
      <w:r>
        <w:rPr>
          <w:b/>
          <w:color w:val="1F5C2D"/>
          <w:sz w:val="24"/>
        </w:rPr>
        <w:t>Interviewer Briefing — Read Before the Interview</w:t>
      </w:r>
    </w:p>
    <w:p>
      <w:pPr>
        <w:spacing w:after="80"/>
      </w:pPr>
      <w:r>
        <w:rPr>
          <w:b w:val="0"/>
          <w:i w:val="0"/>
          <w:sz w:val="21"/>
        </w:rPr>
        <w:t>The L5 Assistant Farm Manager oversees multiple breeding-side operational areas: staff deployment across sections, performance follow-up, inter-section coordination, gilt-development pipeline oversight, and direct support to the Breeding Farm Manager in daily farm control. This is a second-line management role — you are hiring for coordination across sections, stable leadership presence, sound judgement, and reporting quality, with the gilt pipeline as a signature responsibility.</w:t>
      </w:r>
    </w:p>
    <w:p>
      <w:pPr>
        <w:spacing w:after="80"/>
      </w:pPr>
      <w:r>
        <w:rPr>
          <w:b w:val="0"/>
          <w:i w:val="0"/>
          <w:sz w:val="21"/>
        </w:rPr>
        <w:t>L5 requires a Bachelor's degree in animal science / production / health / veterinary technology / agribusiness; a PG Diploma or MSc is an advantage. The non-negotiables emphasise integrity in reporting, no unauthorised deviation from policy or management instruction, and timely escalation. Because the multiplication farm is now producing its own replacement stock, probe the candidate's grasp of gilt selection, acclimatisation, and pool adequacy hard.</w:t>
      </w:r>
    </w:p>
    <w:p>
      <w:pPr>
        <w:spacing w:after="80"/>
      </w:pPr>
      <w:r>
        <w:rPr>
          <w:b w:val="0"/>
          <w:i w:val="0"/>
          <w:sz w:val="21"/>
        </w:rPr>
        <w:t>Rating scale 1–5. Recommended panel: Breeding Farm Manager as chair, plus the Operations/Production Manager and/or Veterinarian. Allow 60–75 minutes.</w:t>
      </w:r>
    </w:p>
    <w:p>
      <w:pPr>
        <w:spacing w:before="200" w:after="80"/>
      </w:pPr>
      <w:r>
        <w:rPr>
          <w:b/>
          <w:color w:val="1F5C2D"/>
          <w:sz w:val="24"/>
        </w:rPr>
        <w:t>Section A — Screening and Qualification Checklist (Pass/Fail)</w:t>
      </w:r>
    </w:p>
    <w:p>
      <w:pPr>
        <w:spacing w:after="80"/>
      </w:pPr>
      <w:r>
        <w:rPr>
          <w:b w:val="0"/>
          <w:i/>
          <w:sz w:val="19"/>
        </w:rPr>
        <w:t>Verify before or at the start of the interview. Any “No” on A1–A2 disqualifies unless the Operations/Production Manager approves a documented exception.</w:t>
      </w:r>
    </w:p>
    <w:tbl>
      <w:tblPr>
        <w:tblStyle w:val="TableGrid"/>
        <w:tblW w:type="auto" w:w="0"/>
        <w:jc w:val="center"/>
        <w:tblLayout w:type="fixed"/>
        <w:tblLook w:firstColumn="1" w:firstRow="1" w:lastColumn="0" w:lastRow="0" w:noHBand="0" w:noVBand="1" w:val="04A0"/>
        <w:tblLayout w:type="fixed"/>
      </w:tblPr>
      <w:tblGrid>
        <w:gridCol w:w="453"/>
        <w:gridCol w:w="5499"/>
        <w:gridCol w:w="623"/>
        <w:gridCol w:w="623"/>
        <w:gridCol w:w="2438"/>
      </w:tblGrid>
      <w:tr>
        <w:tc>
          <w:tcPr>
            <w:tcW w:type="dxa" w:w="454"/>
            <w:shd w:val="clear" w:fill="D9E5DC"/>
          </w:tcPr>
          <w:p>
            <w:r/>
            <w:r>
              <w:rPr>
                <w:b/>
                <w:i w:val="0"/>
                <w:sz w:val="20"/>
              </w:rPr>
              <w:t>#</w:t>
            </w:r>
          </w:p>
        </w:tc>
        <w:tc>
          <w:tcPr>
            <w:tcW w:type="dxa" w:w="5499"/>
            <w:shd w:val="clear" w:fill="D9E5DC"/>
          </w:tcPr>
          <w:p>
            <w:r/>
            <w:r>
              <w:rPr>
                <w:b/>
                <w:i w:val="0"/>
                <w:sz w:val="20"/>
              </w:rPr>
              <w:t>Requirement</w:t>
            </w:r>
          </w:p>
        </w:tc>
        <w:tc>
          <w:tcPr>
            <w:tcW w:type="dxa" w:w="624"/>
            <w:shd w:val="clear" w:fill="D9E5DC"/>
          </w:tcPr>
          <w:p>
            <w:r/>
            <w:r>
              <w:rPr>
                <w:b/>
                <w:i w:val="0"/>
                <w:sz w:val="20"/>
              </w:rPr>
              <w:t>Yes</w:t>
            </w:r>
          </w:p>
        </w:tc>
        <w:tc>
          <w:tcPr>
            <w:tcW w:type="dxa" w:w="624"/>
            <w:shd w:val="clear" w:fill="D9E5DC"/>
          </w:tcPr>
          <w:p>
            <w:r/>
            <w:r>
              <w:rPr>
                <w:b/>
                <w:i w:val="0"/>
                <w:sz w:val="20"/>
              </w:rPr>
              <w:t>No</w:t>
            </w:r>
          </w:p>
        </w:tc>
        <w:tc>
          <w:tcPr>
            <w:tcW w:type="dxa" w:w="2438"/>
            <w:shd w:val="clear" w:fill="D9E5DC"/>
          </w:tcPr>
          <w:p>
            <w:r/>
            <w:r>
              <w:rPr>
                <w:b/>
                <w:i w:val="0"/>
                <w:sz w:val="20"/>
              </w:rPr>
              <w:t>Notes</w:t>
            </w:r>
          </w:p>
        </w:tc>
      </w:tr>
      <w:tr>
        <w:tc>
          <w:tcPr>
            <w:tcW w:type="dxa" w:w="454"/>
          </w:tcPr>
          <w:p>
            <w:r/>
            <w:r>
              <w:rPr>
                <w:b w:val="0"/>
                <w:i w:val="0"/>
                <w:sz w:val="20"/>
              </w:rPr>
              <w:t>A1</w:t>
            </w:r>
          </w:p>
        </w:tc>
        <w:tc>
          <w:tcPr>
            <w:tcW w:type="dxa" w:w="5499"/>
          </w:tcPr>
          <w:p>
            <w:r/>
            <w:r>
              <w:rPr>
                <w:b w:val="0"/>
                <w:i w:val="0"/>
                <w:sz w:val="20"/>
              </w:rPr>
              <w:t>Bachelor's degree in Animal Science / Production / Health / Veterinary Technology / Agribusiness — originals sighted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A2</w:t>
            </w:r>
          </w:p>
        </w:tc>
        <w:tc>
          <w:tcPr>
            <w:tcW w:type="dxa" w:w="5499"/>
          </w:tcPr>
          <w:p>
            <w:r/>
            <w:r>
              <w:rPr>
                <w:b w:val="0"/>
                <w:i w:val="0"/>
                <w:sz w:val="20"/>
              </w:rPr>
              <w:t>Significant technical and supervisory experience in intensive livestock or pig production</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A3</w:t>
            </w:r>
          </w:p>
        </w:tc>
        <w:tc>
          <w:tcPr>
            <w:tcW w:type="dxa" w:w="5499"/>
          </w:tcPr>
          <w:p>
            <w:r/>
            <w:r>
              <w:rPr>
                <w:b w:val="0"/>
                <w:i w:val="0"/>
                <w:sz w:val="20"/>
              </w:rPr>
              <w:t>Proven ability to coordinate across multiple sections or teams</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A4</w:t>
            </w:r>
          </w:p>
        </w:tc>
        <w:tc>
          <w:tcPr>
            <w:tcW w:type="dxa" w:w="5499"/>
          </w:tcPr>
          <w:p>
            <w:r/>
            <w:r>
              <w:rPr>
                <w:b w:val="0"/>
                <w:i w:val="0"/>
                <w:sz w:val="20"/>
              </w:rPr>
              <w:t>Postgraduate Diploma or MSc (advantage, not required)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A5</w:t>
            </w:r>
          </w:p>
        </w:tc>
        <w:tc>
          <w:tcPr>
            <w:tcW w:type="dxa" w:w="5499"/>
          </w:tcPr>
          <w:p>
            <w:r/>
            <w:r>
              <w:rPr>
                <w:b w:val="0"/>
                <w:i w:val="0"/>
                <w:sz w:val="20"/>
              </w:rPr>
              <w:t>Demonstrated gilt-development or reproductive-pipeline exposure</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A6</w:t>
            </w:r>
          </w:p>
        </w:tc>
        <w:tc>
          <w:tcPr>
            <w:tcW w:type="dxa" w:w="5499"/>
          </w:tcPr>
          <w:p>
            <w:r/>
            <w:r>
              <w:rPr>
                <w:b w:val="0"/>
                <w:i w:val="0"/>
                <w:sz w:val="20"/>
              </w:rPr>
              <w:t>Strong reporting and people-management track record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A7</w:t>
            </w:r>
          </w:p>
        </w:tc>
        <w:tc>
          <w:tcPr>
            <w:tcW w:type="dxa" w:w="5499"/>
          </w:tcPr>
          <w:p>
            <w:r/>
            <w:r>
              <w:rPr>
                <w:b w:val="0"/>
                <w:i w:val="0"/>
                <w:sz w:val="20"/>
              </w:rPr>
              <w:t>Two contactable references, including a senior manager</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bl>
    <w:p>
      <w:pPr>
        <w:spacing w:before="200" w:after="80"/>
      </w:pPr>
      <w:r>
        <w:rPr>
          <w:b/>
          <w:color w:val="1F5C2D"/>
          <w:sz w:val="24"/>
        </w:rPr>
        <w:t>Section B — Structured Interview Questions</w:t>
      </w:r>
    </w:p>
    <w:p>
      <w:pPr>
        <w:spacing w:after="80"/>
      </w:pPr>
      <w:r>
        <w:rPr>
          <w:b w:val="0"/>
          <w:i/>
          <w:sz w:val="19"/>
        </w:rPr>
        <w:t>Warm-up (not scored): “Tell us about the breadth of operations you have coordinated and how you supported the manager above you.”</w:t>
      </w:r>
    </w:p>
    <w:p>
      <w:pPr>
        <w:spacing w:before="200" w:after="80"/>
      </w:pPr>
      <w:r>
        <w:rPr>
          <w:b/>
          <w:color w:val="1F5C2D"/>
          <w:sz w:val="22"/>
        </w:rPr>
        <w:t>B1. Multi-Section Oversight and Coordination</w:t>
      </w:r>
    </w:p>
    <w:p>
      <w:pPr>
        <w:spacing w:before="160" w:after="40"/>
      </w:pPr>
      <w:r>
        <w:rPr>
          <w:b/>
        </w:rPr>
        <w:t xml:space="preserve">Q1. </w:t>
      </w:r>
      <w:r>
        <w:rPr>
          <w:b/>
        </w:rPr>
        <w:t>How do you keep several operational areas aligned when you don't directly run any single one day-to-day?</w:t>
      </w:r>
    </w:p>
    <w:p>
      <w:pPr>
        <w:spacing w:after="40"/>
      </w:pPr>
      <w:r>
        <w:rPr>
          <w:i/>
          <w:color w:val="404040"/>
          <w:sz w:val="19"/>
        </w:rPr>
        <w:t>Look for: Sets shared priorities, coordinates through L4s, uses data and short cadenced check-ins, resolves cross-section clashes. Coordination through others, not doing it himself.</w:t>
      </w:r>
    </w:p>
    <w:p>
      <w:pPr>
        <w:spacing w:after="120"/>
      </w:pPr>
      <w:r>
        <w:rPr>
          <w:sz w:val="19"/>
        </w:rPr>
        <w:t>Rating:  1    2    3    4    5        Notes: _______________________________________________</w:t>
      </w:r>
    </w:p>
    <w:p>
      <w:pPr>
        <w:spacing w:before="160" w:after="40"/>
      </w:pPr>
      <w:r>
        <w:rPr>
          <w:b/>
        </w:rPr>
        <w:t xml:space="preserve">Q2. </w:t>
      </w:r>
      <w:r>
        <w:rPr>
          <w:b/>
        </w:rPr>
        <w:t>Two sections are competing for the same limited staff on the same morning. How do you decide?</w:t>
      </w:r>
    </w:p>
    <w:p>
      <w:pPr>
        <w:spacing w:after="40"/>
      </w:pPr>
      <w:r>
        <w:rPr>
          <w:i/>
          <w:color w:val="404040"/>
          <w:sz w:val="19"/>
        </w:rPr>
        <w:t>Look for: Prioritises by welfare, reproductive-cycle criticality, and business risk; communicates the decision; supports the section that yields. Clear, fair trade-off logic.</w:t>
      </w:r>
    </w:p>
    <w:p>
      <w:pPr>
        <w:spacing w:after="120"/>
      </w:pPr>
      <w:r>
        <w:rPr>
          <w:sz w:val="19"/>
        </w:rPr>
        <w:t>Rating:  1    2    3    4    5        Notes: _______________________________________________</w:t>
      </w:r>
    </w:p>
    <w:p>
      <w:pPr>
        <w:spacing w:before="160" w:after="40"/>
      </w:pPr>
      <w:r>
        <w:rPr>
          <w:b/>
        </w:rPr>
        <w:t xml:space="preserve">Q3. </w:t>
      </w:r>
      <w:r>
        <w:rPr>
          <w:b/>
        </w:rPr>
        <w:t>How would you support the Breeding Farm Manager in daily farm control without overstepping?</w:t>
      </w:r>
    </w:p>
    <w:p>
      <w:pPr>
        <w:spacing w:after="40"/>
      </w:pPr>
      <w:r>
        <w:rPr>
          <w:i/>
          <w:color w:val="404040"/>
          <w:sz w:val="19"/>
        </w:rPr>
        <w:t>Look for: Understands the second-line role: extends the manager's reach, feeds decisions upward, executes direction, doesn't freelance policy. Knows the boundary.</w:t>
      </w:r>
    </w:p>
    <w:p>
      <w:pPr>
        <w:spacing w:after="120"/>
      </w:pPr>
      <w:r>
        <w:rPr>
          <w:sz w:val="19"/>
        </w:rPr>
        <w:t>Rating:  1    2    3    4    5        Notes: _______________________________________________</w:t>
      </w:r>
    </w:p>
    <w:p>
      <w:pPr>
        <w:spacing w:before="200" w:after="80"/>
      </w:pPr>
      <w:r>
        <w:rPr>
          <w:b/>
          <w:color w:val="1F5C2D"/>
          <w:sz w:val="22"/>
        </w:rPr>
        <w:t>B2. Gilt-Development Pipeline Oversight</w:t>
      </w:r>
    </w:p>
    <w:p>
      <w:pPr>
        <w:spacing w:before="160" w:after="40"/>
      </w:pPr>
      <w:r>
        <w:rPr>
          <w:b/>
        </w:rPr>
        <w:t xml:space="preserve">Q4. </w:t>
      </w:r>
      <w:r>
        <w:rPr>
          <w:b/>
        </w:rPr>
        <w:t>Wills Farms is now breeding its own replacement gilts. Walk us through how you'd oversee the pipeline from selection to first service.</w:t>
      </w:r>
    </w:p>
    <w:p>
      <w:pPr>
        <w:spacing w:after="40"/>
      </w:pPr>
      <w:r>
        <w:rPr>
          <w:i/>
          <w:color w:val="404040"/>
          <w:sz w:val="19"/>
        </w:rPr>
        <w:t>Look for: Selection criteria (growth, structure, feet/legs, underline, temperament), isolation/acclimatisation, health and vaccination, heat/boar exposure, target service age/weight, records. Real GP-replacement understanding.</w:t>
      </w:r>
    </w:p>
    <w:p>
      <w:pPr>
        <w:spacing w:after="120"/>
      </w:pPr>
      <w:r>
        <w:rPr>
          <w:sz w:val="19"/>
        </w:rPr>
        <w:t>Rating:  1    2    3    4    5        Notes: _______________________________________________</w:t>
      </w:r>
    </w:p>
    <w:p>
      <w:pPr>
        <w:spacing w:before="160" w:after="40"/>
      </w:pPr>
      <w:r>
        <w:rPr>
          <w:b/>
        </w:rPr>
        <w:t xml:space="preserve">Q5. </w:t>
      </w:r>
      <w:r>
        <w:rPr>
          <w:b/>
        </w:rPr>
        <w:t>How do you make sure the gilt pool is always adequate to hit replacement targets without over- or under-supplying?</w:t>
      </w:r>
    </w:p>
    <w:p>
      <w:pPr>
        <w:spacing w:after="40"/>
      </w:pPr>
      <w:r>
        <w:rPr>
          <w:i/>
          <w:color w:val="404040"/>
          <w:sz w:val="19"/>
        </w:rPr>
        <w:t>Look for: Forecasts culling and replacement rate, tracks the pool against targets, flags shortfalls early. Pool adequacy is an explicit L5 KPI.</w:t>
      </w:r>
    </w:p>
    <w:p>
      <w:pPr>
        <w:spacing w:after="120"/>
      </w:pPr>
      <w:r>
        <w:rPr>
          <w:sz w:val="19"/>
        </w:rPr>
        <w:t>Rating:  1    2    3    4    5        Notes: _______________________________________________</w:t>
      </w:r>
    </w:p>
    <w:p>
      <w:pPr>
        <w:spacing w:before="160" w:after="40"/>
      </w:pPr>
      <w:r>
        <w:rPr>
          <w:b/>
        </w:rPr>
        <w:t xml:space="preserve">Q6. </w:t>
      </w:r>
      <w:r>
        <w:rPr>
          <w:b/>
        </w:rPr>
        <w:t>What worries you most about a farm producing its own replacements versus buying them in?</w:t>
      </w:r>
    </w:p>
    <w:p>
      <w:pPr>
        <w:spacing w:after="40"/>
      </w:pPr>
      <w:r>
        <w:rPr>
          <w:i/>
          <w:color w:val="404040"/>
          <w:sz w:val="19"/>
        </w:rPr>
        <w:t>Look for: Genetic integrity/tier-discipline, inbreeding management, health status, selection rigour, biosecurity of internal flow. Shows strategic awareness of the risk.</w:t>
      </w:r>
    </w:p>
    <w:p>
      <w:pPr>
        <w:spacing w:after="120"/>
      </w:pPr>
      <w:r>
        <w:rPr>
          <w:sz w:val="19"/>
        </w:rPr>
        <w:t>Rating:  1    2    3    4    5        Notes: _______________________________________________</w:t>
      </w:r>
    </w:p>
    <w:p>
      <w:pPr>
        <w:spacing w:before="200" w:after="80"/>
      </w:pPr>
      <w:r>
        <w:rPr>
          <w:b/>
          <w:color w:val="1F5C2D"/>
          <w:sz w:val="22"/>
        </w:rPr>
        <w:t>B3. Staff Deployment and Performance Follow-Up</w:t>
      </w:r>
    </w:p>
    <w:p>
      <w:pPr>
        <w:spacing w:before="160" w:after="40"/>
      </w:pPr>
      <w:r>
        <w:rPr>
          <w:b/>
        </w:rPr>
        <w:t xml:space="preserve">Q7. </w:t>
      </w:r>
      <w:r>
        <w:rPr>
          <w:b/>
        </w:rPr>
        <w:t>How do you deploy people across sections to match workload peaks through the reproductive cycle?</w:t>
      </w:r>
    </w:p>
    <w:p>
      <w:pPr>
        <w:spacing w:after="40"/>
      </w:pPr>
      <w:r>
        <w:rPr>
          <w:i/>
          <w:color w:val="404040"/>
          <w:sz w:val="19"/>
        </w:rPr>
        <w:t>Look for: Reads the calendar, cross-trains, moves staff to farrowing/service peaks, protects cover. Uses the cross-trained generalist model in the manual.</w:t>
      </w:r>
    </w:p>
    <w:p>
      <w:pPr>
        <w:spacing w:after="120"/>
      </w:pPr>
      <w:r>
        <w:rPr>
          <w:sz w:val="19"/>
        </w:rPr>
        <w:t>Rating:  1    2    3    4    5        Notes: _______________________________________________</w:t>
      </w:r>
    </w:p>
    <w:p>
      <w:pPr>
        <w:spacing w:before="160" w:after="40"/>
      </w:pPr>
      <w:r>
        <w:rPr>
          <w:b/>
        </w:rPr>
        <w:t xml:space="preserve">Q8. </w:t>
      </w:r>
      <w:r>
        <w:rPr>
          <w:b/>
        </w:rPr>
        <w:t>An L4 supervisor under you is underperforming. How do you handle it?</w:t>
      </w:r>
    </w:p>
    <w:p>
      <w:pPr>
        <w:spacing w:after="40"/>
      </w:pPr>
      <w:r>
        <w:rPr>
          <w:i/>
          <w:color w:val="404040"/>
          <w:sz w:val="19"/>
        </w:rPr>
        <w:t>Look for: Direct feedback, support and expectations, documents, escalates; does not undermine or bypass them. Manages managers, fairly.</w:t>
      </w:r>
    </w:p>
    <w:p>
      <w:pPr>
        <w:spacing w:after="120"/>
      </w:pPr>
      <w:r>
        <w:rPr>
          <w:sz w:val="19"/>
        </w:rPr>
        <w:t>Rating:  1    2    3    4    5        Notes: _______________________________________________</w:t>
      </w:r>
    </w:p>
    <w:p>
      <w:pPr>
        <w:spacing w:before="200" w:after="80"/>
      </w:pPr>
      <w:r>
        <w:rPr>
          <w:b/>
          <w:color w:val="1F5C2D"/>
          <w:sz w:val="22"/>
        </w:rPr>
        <w:t>B4. Reporting Integrity and Compliance</w:t>
      </w:r>
    </w:p>
    <w:p>
      <w:pPr>
        <w:spacing w:before="160" w:after="40"/>
      </w:pPr>
      <w:r>
        <w:rPr>
          <w:b/>
        </w:rPr>
        <w:t xml:space="preserve">Q9. </w:t>
      </w:r>
      <w:r>
        <w:rPr>
          <w:b/>
        </w:rPr>
        <w:t>Management asks for numbers that you know make the farm look better than reality. What do you do?</w:t>
      </w:r>
    </w:p>
    <w:p>
      <w:pPr>
        <w:spacing w:after="40"/>
      </w:pPr>
      <w:r>
        <w:rPr>
          <w:i/>
          <w:color w:val="404040"/>
          <w:sz w:val="19"/>
        </w:rPr>
        <w:t>Look for: Reports honestly; will not massage figures. Reporting integrity is an explicit L5 non-negotiable. Any hedging is a serious red flag.</w:t>
      </w:r>
    </w:p>
    <w:p>
      <w:pPr>
        <w:spacing w:after="120"/>
      </w:pPr>
      <w:r>
        <w:rPr>
          <w:sz w:val="19"/>
        </w:rPr>
        <w:t>Rating:  1    2    3    4    5        Notes: _______________________________________________</w:t>
      </w:r>
    </w:p>
    <w:p>
      <w:pPr>
        <w:spacing w:before="160" w:after="40"/>
      </w:pPr>
      <w:r>
        <w:rPr>
          <w:b/>
        </w:rPr>
        <w:t xml:space="preserve">Q10. </w:t>
      </w:r>
      <w:r>
        <w:rPr>
          <w:b/>
        </w:rPr>
        <w:t>How do you enforce compliance and tier-discipline across areas you oversee but don't personally staff?</w:t>
      </w:r>
    </w:p>
    <w:p>
      <w:pPr>
        <w:spacing w:after="40"/>
      </w:pPr>
      <w:r>
        <w:rPr>
          <w:i/>
          <w:color w:val="404040"/>
          <w:sz w:val="19"/>
        </w:rPr>
        <w:t>Look for: Through L4s, audits, and consistent escalation; sets the standard and follows up. Owns compliance at a distance.</w:t>
      </w:r>
    </w:p>
    <w:p>
      <w:pPr>
        <w:spacing w:after="120"/>
      </w:pPr>
      <w:r>
        <w:rPr>
          <w:sz w:val="19"/>
        </w:rPr>
        <w:t>Rating:  1    2    3    4    5        Notes: _______________________________________________</w:t>
      </w:r>
    </w:p>
    <w:p>
      <w:pPr>
        <w:spacing w:before="200" w:after="80"/>
      </w:pPr>
      <w:r>
        <w:rPr>
          <w:b/>
          <w:color w:val="1F5C2D"/>
          <w:sz w:val="22"/>
        </w:rPr>
        <w:t>B5. Judgement and Leadership Presence</w:t>
      </w:r>
    </w:p>
    <w:p>
      <w:pPr>
        <w:spacing w:before="160" w:after="40"/>
      </w:pPr>
      <w:r>
        <w:rPr>
          <w:b/>
        </w:rPr>
        <w:t xml:space="preserve">Q11. </w:t>
      </w:r>
      <w:r>
        <w:rPr>
          <w:b/>
        </w:rPr>
        <w:t>Describe a time you had to hold a stable line while the operation around you was under stress.</w:t>
      </w:r>
    </w:p>
    <w:p>
      <w:pPr>
        <w:spacing w:after="40"/>
      </w:pPr>
      <w:r>
        <w:rPr>
          <w:i/>
          <w:color w:val="404040"/>
          <w:sz w:val="19"/>
        </w:rPr>
        <w:t>Look for: Calm, steady leadership; concrete example; kept standards and people together. The manual asks for stable leadership presence.</w:t>
      </w:r>
    </w:p>
    <w:p>
      <w:pPr>
        <w:spacing w:after="120"/>
      </w:pPr>
      <w:r>
        <w:rPr>
          <w:sz w:val="19"/>
        </w:rPr>
        <w:t>Rating:  1    2    3    4    5        Notes: _______________________________________________</w:t>
      </w:r>
    </w:p>
    <w:p>
      <w:pPr>
        <w:spacing w:before="160" w:after="40"/>
      </w:pPr>
      <w:r>
        <w:rPr>
          <w:b/>
        </w:rPr>
        <w:t xml:space="preserve">Q12. </w:t>
      </w:r>
      <w:r>
        <w:rPr>
          <w:b/>
        </w:rPr>
        <w:t>Where do you draw the line between deciding yourself and escalating to the Breeding Farm Manager?</w:t>
      </w:r>
    </w:p>
    <w:p>
      <w:pPr>
        <w:spacing w:after="40"/>
      </w:pPr>
      <w:r>
        <w:rPr>
          <w:i/>
          <w:color w:val="404040"/>
          <w:sz w:val="19"/>
        </w:rPr>
        <w:t>Look for: Clear on scope; escalates policy, budget, serious health/biosecurity, and integrity issues; decides within delegated authority. Sound second-line judgement.</w:t>
      </w:r>
    </w:p>
    <w:p>
      <w:pPr>
        <w:spacing w:after="120"/>
      </w:pPr>
      <w:r>
        <w:rPr>
          <w:sz w:val="19"/>
        </w:rPr>
        <w:t>Rating:  1    2    3    4    5        Notes: _______________________________________________</w:t>
      </w:r>
    </w:p>
    <w:p>
      <w:pPr>
        <w:spacing w:before="160" w:after="40"/>
      </w:pPr>
      <w:r>
        <w:rPr>
          <w:b/>
        </w:rPr>
        <w:t xml:space="preserve">Q13. </w:t>
      </w:r>
      <w:r>
        <w:rPr>
          <w:b/>
        </w:rPr>
        <w:t>How do you give the Breeding Farm Manager confidence to delegate real control to you?</w:t>
      </w:r>
    </w:p>
    <w:p>
      <w:pPr>
        <w:spacing w:after="40"/>
      </w:pPr>
      <w:r>
        <w:rPr>
          <w:i/>
          <w:color w:val="404040"/>
          <w:sz w:val="19"/>
        </w:rPr>
        <w:t>Look for: Reliability, accurate reporting, no surprises, sound judgement, loyalty to decisions. Understands what earns delegated trust.</w:t>
      </w:r>
    </w:p>
    <w:p>
      <w:pPr>
        <w:spacing w:after="120"/>
      </w:pPr>
      <w:r>
        <w:rPr>
          <w:sz w:val="19"/>
        </w:rPr>
        <w:t>Rating:  1    2    3    4    5        Notes: _______________________________________________</w:t>
      </w:r>
    </w:p>
    <w:p>
      <w:r>
        <w:br w:type="page"/>
      </w:r>
    </w:p>
    <w:p>
      <w:pPr>
        <w:spacing w:before="200" w:after="80"/>
      </w:pPr>
      <w:r>
        <w:rPr>
          <w:b/>
          <w:color w:val="1F5C2D"/>
          <w:sz w:val="24"/>
        </w:rPr>
        <w:t>Section C — Scenario and Leadership Assessment (45–60 minutes)</w:t>
      </w:r>
    </w:p>
    <w:p>
      <w:pPr>
        <w:spacing w:after="80"/>
      </w:pPr>
      <w:r>
        <w:rPr>
          <w:b w:val="0"/>
          <w:i/>
          <w:sz w:val="19"/>
        </w:rPr>
        <w:t>Present each scenario; the candidate talks through their approach. Score coordination, gilt-pipeline mastery, reporting integrity, and leadership stability.</w:t>
      </w:r>
    </w:p>
    <w:tbl>
      <w:tblPr>
        <w:tblStyle w:val="TableGrid"/>
        <w:tblW w:type="auto" w:w="0"/>
        <w:jc w:val="center"/>
        <w:tblLayout w:type="fixed"/>
        <w:tblLook w:firstColumn="1" w:firstRow="1" w:lastColumn="0" w:lastRow="0" w:noHBand="0" w:noVBand="1" w:val="04A0"/>
        <w:tblLayout w:type="fixed"/>
      </w:tblPr>
      <w:tblGrid>
        <w:gridCol w:w="453"/>
        <w:gridCol w:w="3231"/>
        <w:gridCol w:w="4252"/>
        <w:gridCol w:w="1644"/>
      </w:tblGrid>
      <w:tr>
        <w:tc>
          <w:tcPr>
            <w:tcW w:type="dxa" w:w="454"/>
            <w:shd w:val="clear" w:fill="D9E5DC"/>
          </w:tcPr>
          <w:p>
            <w:r/>
            <w:r>
              <w:rPr>
                <w:b/>
                <w:i w:val="0"/>
                <w:sz w:val="20"/>
              </w:rPr>
              <w:t>#</w:t>
            </w:r>
          </w:p>
        </w:tc>
        <w:tc>
          <w:tcPr>
            <w:tcW w:type="dxa" w:w="3231"/>
            <w:shd w:val="clear" w:fill="D9E5DC"/>
          </w:tcPr>
          <w:p>
            <w:r/>
            <w:r>
              <w:rPr>
                <w:b/>
                <w:i w:val="0"/>
                <w:sz w:val="20"/>
              </w:rPr>
              <w:t>Scenario / Exercise</w:t>
            </w:r>
          </w:p>
        </w:tc>
        <w:tc>
          <w:tcPr>
            <w:tcW w:type="dxa" w:w="4252"/>
            <w:shd w:val="clear" w:fill="D9E5DC"/>
          </w:tcPr>
          <w:p>
            <w:r/>
            <w:r>
              <w:rPr>
                <w:b/>
                <w:i w:val="0"/>
                <w:sz w:val="20"/>
              </w:rPr>
              <w:t>What to Observe / Score</w:t>
            </w:r>
          </w:p>
        </w:tc>
        <w:tc>
          <w:tcPr>
            <w:tcW w:type="dxa" w:w="1644"/>
            <w:shd w:val="clear" w:fill="D9E5DC"/>
          </w:tcPr>
          <w:p>
            <w:r/>
            <w:r>
              <w:rPr>
                <w:b/>
                <w:i w:val="0"/>
                <w:sz w:val="20"/>
              </w:rPr>
              <w:t>Rating (1–5)</w:t>
            </w:r>
          </w:p>
        </w:tc>
      </w:tr>
      <w:tr>
        <w:tc>
          <w:tcPr>
            <w:tcW w:type="dxa" w:w="454"/>
          </w:tcPr>
          <w:p>
            <w:r/>
            <w:r>
              <w:rPr>
                <w:b w:val="0"/>
                <w:i w:val="0"/>
                <w:sz w:val="20"/>
              </w:rPr>
              <w:t>P1</w:t>
            </w:r>
          </w:p>
        </w:tc>
        <w:tc>
          <w:tcPr>
            <w:tcW w:type="dxa" w:w="3231"/>
          </w:tcPr>
          <w:p>
            <w:r/>
            <w:r>
              <w:rPr>
                <w:b w:val="0"/>
                <w:i w:val="0"/>
                <w:sz w:val="20"/>
              </w:rPr>
              <w:t>Coordination case: three sections, one lean team, a farrowing peak, and a dispatch day all in the same week. Produce a deployment plan.</w:t>
            </w:r>
          </w:p>
        </w:tc>
        <w:tc>
          <w:tcPr>
            <w:tcW w:type="dxa" w:w="4252"/>
          </w:tcPr>
          <w:p>
            <w:r/>
            <w:r>
              <w:rPr>
                <w:b w:val="0"/>
                <w:i w:val="0"/>
                <w:sz w:val="20"/>
              </w:rPr>
              <w:t>Prioritised, realistic cross-section plan; protects welfare and critical routines; explains trade-offs.</w:t>
            </w:r>
          </w:p>
        </w:tc>
        <w:tc>
          <w:tcPr>
            <w:tcW w:type="dxa" w:w="1644"/>
          </w:tcPr>
          <w:p>
            <w:r/>
            <w:r>
              <w:rPr>
                <w:b w:val="0"/>
                <w:i w:val="0"/>
                <w:sz w:val="20"/>
              </w:rPr>
            </w:r>
          </w:p>
        </w:tc>
      </w:tr>
      <w:tr>
        <w:tc>
          <w:tcPr>
            <w:tcW w:type="dxa" w:w="454"/>
          </w:tcPr>
          <w:p>
            <w:r/>
            <w:r>
              <w:rPr>
                <w:b w:val="0"/>
                <w:i w:val="0"/>
                <w:sz w:val="20"/>
              </w:rPr>
              <w:t>P2</w:t>
            </w:r>
          </w:p>
        </w:tc>
        <w:tc>
          <w:tcPr>
            <w:tcW w:type="dxa" w:w="3231"/>
          </w:tcPr>
          <w:p>
            <w:r/>
            <w:r>
              <w:rPr>
                <w:b w:val="0"/>
                <w:i w:val="0"/>
                <w:sz w:val="20"/>
              </w:rPr>
              <w:t>Gilt-pipeline case: given herd size, target replacement rate, and current pool, assess adequacy and act.</w:t>
            </w:r>
          </w:p>
        </w:tc>
        <w:tc>
          <w:tcPr>
            <w:tcW w:type="dxa" w:w="4252"/>
          </w:tcPr>
          <w:p>
            <w:r/>
            <w:r>
              <w:rPr>
                <w:b w:val="0"/>
                <w:i w:val="0"/>
                <w:sz w:val="20"/>
              </w:rPr>
              <w:t>Correct pool logic; selection and acclimatisation standards; flags shortfall early; protects genetic/tier integrity.</w:t>
            </w:r>
          </w:p>
        </w:tc>
        <w:tc>
          <w:tcPr>
            <w:tcW w:type="dxa" w:w="1644"/>
          </w:tcPr>
          <w:p>
            <w:r/>
            <w:r>
              <w:rPr>
                <w:b w:val="0"/>
                <w:i w:val="0"/>
                <w:sz w:val="20"/>
              </w:rPr>
            </w:r>
          </w:p>
        </w:tc>
      </w:tr>
      <w:tr>
        <w:tc>
          <w:tcPr>
            <w:tcW w:type="dxa" w:w="454"/>
          </w:tcPr>
          <w:p>
            <w:r/>
            <w:r>
              <w:rPr>
                <w:b w:val="0"/>
                <w:i w:val="0"/>
                <w:sz w:val="20"/>
              </w:rPr>
              <w:t>P3</w:t>
            </w:r>
          </w:p>
        </w:tc>
        <w:tc>
          <w:tcPr>
            <w:tcW w:type="dxa" w:w="3231"/>
          </w:tcPr>
          <w:p>
            <w:r/>
            <w:r>
              <w:rPr>
                <w:b w:val="0"/>
                <w:i w:val="0"/>
                <w:sz w:val="20"/>
              </w:rPr>
              <w:t>Reporting-integrity case: a shortfall must go into the weekly report the manager sends the CEO. How do you present it?</w:t>
            </w:r>
          </w:p>
        </w:tc>
        <w:tc>
          <w:tcPr>
            <w:tcW w:type="dxa" w:w="4252"/>
          </w:tcPr>
          <w:p>
            <w:r/>
            <w:r>
              <w:rPr>
                <w:b w:val="0"/>
                <w:i w:val="0"/>
                <w:sz w:val="20"/>
              </w:rPr>
              <w:t>Honest, clear, with context and a corrective plan; does not hide or spin. Protects reporting integrity.</w:t>
            </w:r>
          </w:p>
        </w:tc>
        <w:tc>
          <w:tcPr>
            <w:tcW w:type="dxa" w:w="1644"/>
          </w:tcPr>
          <w:p>
            <w:r/>
            <w:r>
              <w:rPr>
                <w:b w:val="0"/>
                <w:i w:val="0"/>
                <w:sz w:val="20"/>
              </w:rPr>
            </w:r>
          </w:p>
        </w:tc>
      </w:tr>
      <w:tr>
        <w:tc>
          <w:tcPr>
            <w:tcW w:type="dxa" w:w="454"/>
          </w:tcPr>
          <w:p>
            <w:r/>
            <w:r>
              <w:rPr>
                <w:b w:val="0"/>
                <w:i w:val="0"/>
                <w:sz w:val="20"/>
              </w:rPr>
              <w:t>P4</w:t>
            </w:r>
          </w:p>
        </w:tc>
        <w:tc>
          <w:tcPr>
            <w:tcW w:type="dxa" w:w="3231"/>
          </w:tcPr>
          <w:p>
            <w:r/>
            <w:r>
              <w:rPr>
                <w:b w:val="0"/>
                <w:i w:val="0"/>
                <w:sz w:val="20"/>
              </w:rPr>
              <w:t>People case: an L4 and an L3 disagree publicly over a breeding decision. How do you resolve it?</w:t>
            </w:r>
          </w:p>
        </w:tc>
        <w:tc>
          <w:tcPr>
            <w:tcW w:type="dxa" w:w="4252"/>
          </w:tcPr>
          <w:p>
            <w:r/>
            <w:r>
              <w:rPr>
                <w:b w:val="0"/>
                <w:i w:val="0"/>
                <w:sz w:val="20"/>
              </w:rPr>
              <w:t>Restores order, gets the facts, backs the correct standard, protects the L4's authority, coaches privately.</w:t>
            </w:r>
          </w:p>
        </w:tc>
        <w:tc>
          <w:tcPr>
            <w:tcW w:type="dxa" w:w="1644"/>
          </w:tcPr>
          <w:p>
            <w:r/>
            <w:r>
              <w:rPr>
                <w:b w:val="0"/>
                <w:i w:val="0"/>
                <w:sz w:val="20"/>
              </w:rPr>
            </w:r>
          </w:p>
        </w:tc>
      </w:tr>
      <w:tr>
        <w:tc>
          <w:tcPr>
            <w:tcW w:type="dxa" w:w="454"/>
          </w:tcPr>
          <w:p>
            <w:r/>
            <w:r>
              <w:rPr>
                <w:b w:val="0"/>
                <w:i w:val="0"/>
                <w:sz w:val="20"/>
              </w:rPr>
              <w:t>P5</w:t>
            </w:r>
          </w:p>
        </w:tc>
        <w:tc>
          <w:tcPr>
            <w:tcW w:type="dxa" w:w="3231"/>
          </w:tcPr>
          <w:p>
            <w:r/>
            <w:r>
              <w:rPr>
                <w:b w:val="0"/>
                <w:i w:val="0"/>
                <w:sz w:val="20"/>
              </w:rPr>
              <w:t>Manager-support case: the Breeding Farm Manager is away for a week. What do you take on, and what do you hold for their return?</w:t>
            </w:r>
          </w:p>
        </w:tc>
        <w:tc>
          <w:tcPr>
            <w:tcW w:type="dxa" w:w="4252"/>
          </w:tcPr>
          <w:p>
            <w:r/>
            <w:r>
              <w:rPr>
                <w:b w:val="0"/>
                <w:i w:val="0"/>
                <w:sz w:val="20"/>
              </w:rPr>
              <w:t>Clear scope judgement; keeps the farm stable; escalates only what genuinely must wait; no policy freelancing.</w:t>
            </w:r>
          </w:p>
        </w:tc>
        <w:tc>
          <w:tcPr>
            <w:tcW w:type="dxa" w:w="1644"/>
          </w:tcPr>
          <w:p>
            <w:r/>
            <w:r>
              <w:rPr>
                <w:b w:val="0"/>
                <w:i w:val="0"/>
                <w:sz w:val="20"/>
              </w:rPr>
            </w:r>
          </w:p>
        </w:tc>
      </w:tr>
    </w:tbl>
    <w:p>
      <w:pPr>
        <w:spacing w:before="200" w:after="80"/>
      </w:pPr>
      <w:r>
        <w:rPr>
          <w:b/>
          <w:color w:val="1F5C2D"/>
          <w:sz w:val="24"/>
        </w:rPr>
        <w:t>Section D — Evaluation Summary and Decision</w:t>
      </w:r>
    </w:p>
    <w:p>
      <w:pPr>
        <w:spacing w:after="80"/>
      </w:pPr>
      <w:r>
        <w:rPr>
          <w:b w:val="0"/>
          <w:i/>
          <w:sz w:val="19"/>
        </w:rPr>
        <w:t>Transfer average ratings for each area. Weighted score = average rating × weight. Maximum total = 5.00.</w:t>
      </w:r>
    </w:p>
    <w:tbl>
      <w:tblPr>
        <w:tblStyle w:val="TableGrid"/>
        <w:tblW w:type="auto" w:w="0"/>
        <w:jc w:val="center"/>
        <w:tblLayout w:type="fixed"/>
        <w:tblLook w:firstColumn="1" w:firstRow="1" w:lastColumn="0" w:lastRow="0" w:noHBand="0" w:noVBand="1" w:val="04A0"/>
        <w:tblLayout w:type="fixed"/>
      </w:tblPr>
      <w:tblGrid>
        <w:gridCol w:w="3515"/>
        <w:gridCol w:w="1247"/>
        <w:gridCol w:w="1587"/>
        <w:gridCol w:w="963"/>
        <w:gridCol w:w="2268"/>
      </w:tblGrid>
      <w:tr>
        <w:tc>
          <w:tcPr>
            <w:tcW w:type="dxa" w:w="3515"/>
            <w:shd w:val="clear" w:fill="D9E5DC"/>
          </w:tcPr>
          <w:p>
            <w:r/>
            <w:r>
              <w:rPr>
                <w:b/>
                <w:i w:val="0"/>
                <w:sz w:val="20"/>
              </w:rPr>
              <w:t>Assessment Area</w:t>
            </w:r>
          </w:p>
        </w:tc>
        <w:tc>
          <w:tcPr>
            <w:tcW w:type="dxa" w:w="1247"/>
            <w:shd w:val="clear" w:fill="D9E5DC"/>
          </w:tcPr>
          <w:p>
            <w:r/>
            <w:r>
              <w:rPr>
                <w:b/>
                <w:i w:val="0"/>
                <w:sz w:val="20"/>
              </w:rPr>
              <w:t>Questions</w:t>
            </w:r>
          </w:p>
        </w:tc>
        <w:tc>
          <w:tcPr>
            <w:tcW w:type="dxa" w:w="1587"/>
            <w:shd w:val="clear" w:fill="D9E5DC"/>
          </w:tcPr>
          <w:p>
            <w:r/>
            <w:r>
              <w:rPr>
                <w:b/>
                <w:i w:val="0"/>
                <w:sz w:val="20"/>
              </w:rPr>
              <w:t>Avg. Rating (1–5)</w:t>
            </w:r>
          </w:p>
        </w:tc>
        <w:tc>
          <w:tcPr>
            <w:tcW w:type="dxa" w:w="964"/>
            <w:shd w:val="clear" w:fill="D9E5DC"/>
          </w:tcPr>
          <w:p>
            <w:r/>
            <w:r>
              <w:rPr>
                <w:b/>
                <w:i w:val="0"/>
                <w:sz w:val="20"/>
              </w:rPr>
              <w:t>Weight</w:t>
            </w:r>
          </w:p>
        </w:tc>
        <w:tc>
          <w:tcPr>
            <w:tcW w:type="dxa" w:w="2268"/>
            <w:shd w:val="clear" w:fill="D9E5DC"/>
          </w:tcPr>
          <w:p>
            <w:r/>
            <w:r>
              <w:rPr>
                <w:b/>
                <w:i w:val="0"/>
                <w:sz w:val="20"/>
              </w:rPr>
              <w:t>Weighted Score</w:t>
            </w:r>
          </w:p>
        </w:tc>
      </w:tr>
      <w:tr>
        <w:tc>
          <w:tcPr>
            <w:tcW w:type="dxa" w:w="3515"/>
          </w:tcPr>
          <w:p>
            <w:r/>
            <w:r>
              <w:rPr>
                <w:b w:val="0"/>
                <w:i w:val="0"/>
                <w:sz w:val="20"/>
              </w:rPr>
              <w:t>B1  Multi-section oversight &amp; coordination</w:t>
            </w:r>
          </w:p>
        </w:tc>
        <w:tc>
          <w:tcPr>
            <w:tcW w:type="dxa" w:w="1247"/>
          </w:tcPr>
          <w:p>
            <w:r/>
            <w:r>
              <w:rPr>
                <w:b w:val="0"/>
                <w:i w:val="0"/>
                <w:sz w:val="20"/>
              </w:rPr>
              <w:t>Q1–Q3</w:t>
            </w:r>
          </w:p>
        </w:tc>
        <w:tc>
          <w:tcPr>
            <w:tcW w:type="dxa" w:w="1587"/>
          </w:tcPr>
          <w:p>
            <w:r/>
            <w:r>
              <w:rPr>
                <w:b w:val="0"/>
                <w:i w:val="0"/>
                <w:sz w:val="20"/>
              </w:rPr>
            </w:r>
          </w:p>
        </w:tc>
        <w:tc>
          <w:tcPr>
            <w:tcW w:type="dxa" w:w="964"/>
          </w:tcPr>
          <w:p>
            <w:r/>
            <w:r>
              <w:rPr>
                <w:b w:val="0"/>
                <w:i w:val="0"/>
                <w:sz w:val="20"/>
              </w:rPr>
              <w:t>15%</w:t>
            </w:r>
          </w:p>
        </w:tc>
        <w:tc>
          <w:tcPr>
            <w:tcW w:type="dxa" w:w="2268"/>
          </w:tcPr>
          <w:p>
            <w:r/>
            <w:r>
              <w:rPr>
                <w:b w:val="0"/>
                <w:i w:val="0"/>
                <w:sz w:val="20"/>
              </w:rPr>
            </w:r>
          </w:p>
        </w:tc>
      </w:tr>
      <w:tr>
        <w:tc>
          <w:tcPr>
            <w:tcW w:type="dxa" w:w="3515"/>
          </w:tcPr>
          <w:p>
            <w:r/>
            <w:r>
              <w:rPr>
                <w:b w:val="0"/>
                <w:i w:val="0"/>
                <w:sz w:val="20"/>
              </w:rPr>
              <w:t>B2  Gilt-development pipeline oversight</w:t>
            </w:r>
          </w:p>
        </w:tc>
        <w:tc>
          <w:tcPr>
            <w:tcW w:type="dxa" w:w="1247"/>
          </w:tcPr>
          <w:p>
            <w:r/>
            <w:r>
              <w:rPr>
                <w:b w:val="0"/>
                <w:i w:val="0"/>
                <w:sz w:val="20"/>
              </w:rPr>
              <w:t>Q4–Q6</w:t>
            </w:r>
          </w:p>
        </w:tc>
        <w:tc>
          <w:tcPr>
            <w:tcW w:type="dxa" w:w="1587"/>
          </w:tcPr>
          <w:p>
            <w:r/>
            <w:r>
              <w:rPr>
                <w:b w:val="0"/>
                <w:i w:val="0"/>
                <w:sz w:val="20"/>
              </w:rPr>
            </w:r>
          </w:p>
        </w:tc>
        <w:tc>
          <w:tcPr>
            <w:tcW w:type="dxa" w:w="964"/>
          </w:tcPr>
          <w:p>
            <w:r/>
            <w:r>
              <w:rPr>
                <w:b w:val="0"/>
                <w:i w:val="0"/>
                <w:sz w:val="20"/>
              </w:rPr>
              <w:t>18%</w:t>
            </w:r>
          </w:p>
        </w:tc>
        <w:tc>
          <w:tcPr>
            <w:tcW w:type="dxa" w:w="2268"/>
          </w:tcPr>
          <w:p>
            <w:r/>
            <w:r>
              <w:rPr>
                <w:b w:val="0"/>
                <w:i w:val="0"/>
                <w:sz w:val="20"/>
              </w:rPr>
            </w:r>
          </w:p>
        </w:tc>
      </w:tr>
      <w:tr>
        <w:tc>
          <w:tcPr>
            <w:tcW w:type="dxa" w:w="3515"/>
          </w:tcPr>
          <w:p>
            <w:r/>
            <w:r>
              <w:rPr>
                <w:b w:val="0"/>
                <w:i w:val="0"/>
                <w:sz w:val="20"/>
              </w:rPr>
              <w:t>B3  Staff deployment &amp; performance</w:t>
            </w:r>
          </w:p>
        </w:tc>
        <w:tc>
          <w:tcPr>
            <w:tcW w:type="dxa" w:w="1247"/>
          </w:tcPr>
          <w:p>
            <w:r/>
            <w:r>
              <w:rPr>
                <w:b w:val="0"/>
                <w:i w:val="0"/>
                <w:sz w:val="20"/>
              </w:rPr>
              <w:t>Q7–Q8</w:t>
            </w:r>
          </w:p>
        </w:tc>
        <w:tc>
          <w:tcPr>
            <w:tcW w:type="dxa" w:w="1587"/>
          </w:tcPr>
          <w:p>
            <w:r/>
            <w:r>
              <w:rPr>
                <w:b w:val="0"/>
                <w:i w:val="0"/>
                <w:sz w:val="20"/>
              </w:rPr>
            </w:r>
          </w:p>
        </w:tc>
        <w:tc>
          <w:tcPr>
            <w:tcW w:type="dxa" w:w="964"/>
          </w:tcPr>
          <w:p>
            <w:r/>
            <w:r>
              <w:rPr>
                <w:b w:val="0"/>
                <w:i w:val="0"/>
                <w:sz w:val="20"/>
              </w:rPr>
              <w:t>10%</w:t>
            </w:r>
          </w:p>
        </w:tc>
        <w:tc>
          <w:tcPr>
            <w:tcW w:type="dxa" w:w="2268"/>
          </w:tcPr>
          <w:p>
            <w:r/>
            <w:r>
              <w:rPr>
                <w:b w:val="0"/>
                <w:i w:val="0"/>
                <w:sz w:val="20"/>
              </w:rPr>
            </w:r>
          </w:p>
        </w:tc>
      </w:tr>
      <w:tr>
        <w:tc>
          <w:tcPr>
            <w:tcW w:type="dxa" w:w="3515"/>
          </w:tcPr>
          <w:p>
            <w:r/>
            <w:r>
              <w:rPr>
                <w:b w:val="0"/>
                <w:i w:val="0"/>
                <w:sz w:val="20"/>
              </w:rPr>
              <w:t>B4  Reporting integrity &amp; compliance</w:t>
            </w:r>
          </w:p>
        </w:tc>
        <w:tc>
          <w:tcPr>
            <w:tcW w:type="dxa" w:w="1247"/>
          </w:tcPr>
          <w:p>
            <w:r/>
            <w:r>
              <w:rPr>
                <w:b w:val="0"/>
                <w:i w:val="0"/>
                <w:sz w:val="20"/>
              </w:rPr>
              <w:t>Q9–Q10</w:t>
            </w:r>
          </w:p>
        </w:tc>
        <w:tc>
          <w:tcPr>
            <w:tcW w:type="dxa" w:w="1587"/>
          </w:tcPr>
          <w:p>
            <w:r/>
            <w:r>
              <w:rPr>
                <w:b w:val="0"/>
                <w:i w:val="0"/>
                <w:sz w:val="20"/>
              </w:rPr>
            </w:r>
          </w:p>
        </w:tc>
        <w:tc>
          <w:tcPr>
            <w:tcW w:type="dxa" w:w="964"/>
          </w:tcPr>
          <w:p>
            <w:r/>
            <w:r>
              <w:rPr>
                <w:b w:val="0"/>
                <w:i w:val="0"/>
                <w:sz w:val="20"/>
              </w:rPr>
              <w:t>12%</w:t>
            </w:r>
          </w:p>
        </w:tc>
        <w:tc>
          <w:tcPr>
            <w:tcW w:type="dxa" w:w="2268"/>
          </w:tcPr>
          <w:p>
            <w:r/>
            <w:r>
              <w:rPr>
                <w:b w:val="0"/>
                <w:i w:val="0"/>
                <w:sz w:val="20"/>
              </w:rPr>
            </w:r>
          </w:p>
        </w:tc>
      </w:tr>
      <w:tr>
        <w:tc>
          <w:tcPr>
            <w:tcW w:type="dxa" w:w="3515"/>
          </w:tcPr>
          <w:p>
            <w:r/>
            <w:r>
              <w:rPr>
                <w:b w:val="0"/>
                <w:i w:val="0"/>
                <w:sz w:val="20"/>
              </w:rPr>
              <w:t>B5  Judgement &amp; leadership presence</w:t>
            </w:r>
          </w:p>
        </w:tc>
        <w:tc>
          <w:tcPr>
            <w:tcW w:type="dxa" w:w="1247"/>
          </w:tcPr>
          <w:p>
            <w:r/>
            <w:r>
              <w:rPr>
                <w:b w:val="0"/>
                <w:i w:val="0"/>
                <w:sz w:val="20"/>
              </w:rPr>
              <w:t>Q11–Q13</w:t>
            </w:r>
          </w:p>
        </w:tc>
        <w:tc>
          <w:tcPr>
            <w:tcW w:type="dxa" w:w="1587"/>
          </w:tcPr>
          <w:p>
            <w:r/>
            <w:r>
              <w:rPr>
                <w:b w:val="0"/>
                <w:i w:val="0"/>
                <w:sz w:val="20"/>
              </w:rPr>
            </w:r>
          </w:p>
        </w:tc>
        <w:tc>
          <w:tcPr>
            <w:tcW w:type="dxa" w:w="964"/>
          </w:tcPr>
          <w:p>
            <w:r/>
            <w:r>
              <w:rPr>
                <w:b w:val="0"/>
                <w:i w:val="0"/>
                <w:sz w:val="20"/>
              </w:rPr>
              <w:t>10%</w:t>
            </w:r>
          </w:p>
        </w:tc>
        <w:tc>
          <w:tcPr>
            <w:tcW w:type="dxa" w:w="2268"/>
          </w:tcPr>
          <w:p>
            <w:r/>
            <w:r>
              <w:rPr>
                <w:b w:val="0"/>
                <w:i w:val="0"/>
                <w:sz w:val="20"/>
              </w:rPr>
            </w:r>
          </w:p>
        </w:tc>
      </w:tr>
      <w:tr>
        <w:tc>
          <w:tcPr>
            <w:tcW w:type="dxa" w:w="3515"/>
          </w:tcPr>
          <w:p>
            <w:r/>
            <w:r>
              <w:rPr>
                <w:b w:val="0"/>
                <w:i w:val="0"/>
                <w:sz w:val="20"/>
              </w:rPr>
              <w:t>Scenario &amp; leadership assessment</w:t>
            </w:r>
          </w:p>
        </w:tc>
        <w:tc>
          <w:tcPr>
            <w:tcW w:type="dxa" w:w="1247"/>
          </w:tcPr>
          <w:p>
            <w:r/>
            <w:r>
              <w:rPr>
                <w:b w:val="0"/>
                <w:i w:val="0"/>
                <w:sz w:val="20"/>
              </w:rPr>
              <w:t>P1–P5</w:t>
            </w:r>
          </w:p>
        </w:tc>
        <w:tc>
          <w:tcPr>
            <w:tcW w:type="dxa" w:w="1587"/>
          </w:tcPr>
          <w:p>
            <w:r/>
            <w:r>
              <w:rPr>
                <w:b w:val="0"/>
                <w:i w:val="0"/>
                <w:sz w:val="20"/>
              </w:rPr>
            </w:r>
          </w:p>
        </w:tc>
        <w:tc>
          <w:tcPr>
            <w:tcW w:type="dxa" w:w="964"/>
          </w:tcPr>
          <w:p>
            <w:r/>
            <w:r>
              <w:rPr>
                <w:b w:val="0"/>
                <w:i w:val="0"/>
                <w:sz w:val="20"/>
              </w:rPr>
              <w:t>35%</w:t>
            </w:r>
          </w:p>
        </w:tc>
        <w:tc>
          <w:tcPr>
            <w:tcW w:type="dxa" w:w="2268"/>
          </w:tcPr>
          <w:p>
            <w:r/>
            <w:r>
              <w:rPr>
                <w:b w:val="0"/>
                <w:i w:val="0"/>
                <w:sz w:val="20"/>
              </w:rPr>
            </w:r>
          </w:p>
        </w:tc>
      </w:tr>
      <w:tr>
        <w:tc>
          <w:tcPr>
            <w:tcW w:type="dxa" w:w="3515"/>
          </w:tcPr>
          <w:p>
            <w:r/>
            <w:r>
              <w:rPr>
                <w:b w:val="0"/>
                <w:i w:val="0"/>
                <w:sz w:val="20"/>
              </w:rPr>
              <w:t>TOTAL</w:t>
            </w:r>
          </w:p>
        </w:tc>
        <w:tc>
          <w:tcPr>
            <w:tcW w:type="dxa" w:w="1247"/>
          </w:tcPr>
          <w:p>
            <w:r/>
            <w:r>
              <w:rPr>
                <w:b w:val="0"/>
                <w:i w:val="0"/>
                <w:sz w:val="20"/>
              </w:rPr>
            </w:r>
          </w:p>
        </w:tc>
        <w:tc>
          <w:tcPr>
            <w:tcW w:type="dxa" w:w="1587"/>
          </w:tcPr>
          <w:p>
            <w:r/>
            <w:r>
              <w:rPr>
                <w:b w:val="0"/>
                <w:i w:val="0"/>
                <w:sz w:val="20"/>
              </w:rPr>
            </w:r>
          </w:p>
        </w:tc>
        <w:tc>
          <w:tcPr>
            <w:tcW w:type="dxa" w:w="964"/>
          </w:tcPr>
          <w:p>
            <w:r/>
            <w:r>
              <w:rPr>
                <w:b w:val="0"/>
                <w:i w:val="0"/>
                <w:sz w:val="20"/>
              </w:rPr>
              <w:t>100%</w:t>
            </w:r>
          </w:p>
        </w:tc>
        <w:tc>
          <w:tcPr>
            <w:tcW w:type="dxa" w:w="2268"/>
          </w:tcPr>
          <w:p>
            <w:r/>
            <w:r>
              <w:rPr>
                <w:b w:val="0"/>
                <w:i w:val="0"/>
                <w:sz w:val="20"/>
              </w:rPr>
            </w:r>
          </w:p>
        </w:tc>
      </w:tr>
    </w:tbl>
    <w:p>
      <w:pPr>
        <w:spacing w:after="80"/>
      </w:pPr>
      <w:r>
        <w:rPr>
          <w:b w:val="0"/>
          <w:i w:val="0"/>
          <w:sz w:val="19"/>
        </w:rPr>
        <w:t>Interpretation guide: 4.0+ — strong appointment; 3.3–3.9 — appoint if references confirm coordination and integrity; 2.8–3.2 — hold/reserve; below 2.8 — do not appoint.</w:t>
      </w:r>
    </w:p>
    <w:p>
      <w:pPr>
        <w:spacing w:before="200" w:after="80"/>
      </w:pPr>
      <w:r>
        <w:rPr>
          <w:b/>
          <w:color w:val="1F5C2D"/>
          <w:sz w:val="22"/>
        </w:rPr>
        <w:t>Automatic Disqualifiers (any one = Do Not Hire, regardless of score)</w:t>
      </w:r>
    </w:p>
    <w:tbl>
      <w:tblPr>
        <w:tblStyle w:val="TableGrid"/>
        <w:tblW w:type="auto" w:w="0"/>
        <w:jc w:val="center"/>
        <w:tblLayout w:type="fixed"/>
        <w:tblLook w:firstColumn="1" w:firstRow="1" w:lastColumn="0" w:lastRow="0" w:noHBand="0" w:noVBand="1" w:val="04A0"/>
        <w:tblLayout w:type="fixed"/>
      </w:tblPr>
      <w:tblGrid>
        <w:gridCol w:w="7371"/>
        <w:gridCol w:w="2211"/>
      </w:tblGrid>
      <w:tr>
        <w:tc>
          <w:tcPr>
            <w:tcW w:type="dxa" w:w="7370"/>
            <w:shd w:val="clear" w:fill="D9E5DC"/>
          </w:tcPr>
          <w:p>
            <w:r/>
            <w:r>
              <w:rPr>
                <w:b/>
                <w:i w:val="0"/>
                <w:sz w:val="20"/>
              </w:rPr>
              <w:t>Red Flag</w:t>
            </w:r>
          </w:p>
        </w:tc>
        <w:tc>
          <w:tcPr>
            <w:tcW w:type="dxa" w:w="2211"/>
            <w:shd w:val="clear" w:fill="D9E5DC"/>
          </w:tcPr>
          <w:p>
            <w:r/>
            <w:r>
              <w:rPr>
                <w:b/>
                <w:i w:val="0"/>
                <w:sz w:val="20"/>
              </w:rPr>
              <w:t>Observed?</w:t>
            </w:r>
          </w:p>
        </w:tc>
      </w:tr>
      <w:tr>
        <w:tc>
          <w:tcPr>
            <w:tcW w:type="dxa" w:w="7370"/>
          </w:tcPr>
          <w:p>
            <w:r/>
            <w:r>
              <w:rPr>
                <w:b w:val="0"/>
                <w:i w:val="0"/>
                <w:sz w:val="20"/>
              </w:rPr>
              <w:t>Any willingness to massage, hide, or spin reports or KPIs</w:t>
            </w:r>
          </w:p>
        </w:tc>
        <w:tc>
          <w:tcPr>
            <w:tcW w:type="dxa" w:w="2211"/>
          </w:tcPr>
          <w:p>
            <w:r/>
            <w:r>
              <w:rPr>
                <w:b w:val="0"/>
                <w:i w:val="0"/>
                <w:sz w:val="20"/>
              </w:rPr>
            </w:r>
          </w:p>
        </w:tc>
      </w:tr>
      <w:tr>
        <w:tc>
          <w:tcPr>
            <w:tcW w:type="dxa" w:w="7370"/>
          </w:tcPr>
          <w:p>
            <w:r/>
            <w:r>
              <w:rPr>
                <w:b w:val="0"/>
                <w:i w:val="0"/>
                <w:sz w:val="20"/>
              </w:rPr>
              <w:t>Weak grasp of gilt-development / replacement-pipeline fundamentals</w:t>
            </w:r>
          </w:p>
        </w:tc>
        <w:tc>
          <w:tcPr>
            <w:tcW w:type="dxa" w:w="2211"/>
          </w:tcPr>
          <w:p>
            <w:r/>
            <w:r>
              <w:rPr>
                <w:b w:val="0"/>
                <w:i w:val="0"/>
                <w:sz w:val="20"/>
              </w:rPr>
            </w:r>
          </w:p>
        </w:tc>
      </w:tr>
      <w:tr>
        <w:tc>
          <w:tcPr>
            <w:tcW w:type="dxa" w:w="7370"/>
          </w:tcPr>
          <w:p>
            <w:r/>
            <w:r>
              <w:rPr>
                <w:b w:val="0"/>
                <w:i w:val="0"/>
                <w:sz w:val="20"/>
              </w:rPr>
              <w:t>Freelances on policy or undermines the manager rather than supporting daily control</w:t>
            </w:r>
          </w:p>
        </w:tc>
        <w:tc>
          <w:tcPr>
            <w:tcW w:type="dxa" w:w="2211"/>
          </w:tcPr>
          <w:p>
            <w:r/>
            <w:r>
              <w:rPr>
                <w:b w:val="0"/>
                <w:i w:val="0"/>
                <w:sz w:val="20"/>
              </w:rPr>
            </w:r>
          </w:p>
        </w:tc>
      </w:tr>
      <w:tr>
        <w:tc>
          <w:tcPr>
            <w:tcW w:type="dxa" w:w="7370"/>
          </w:tcPr>
          <w:p>
            <w:r/>
            <w:r>
              <w:rPr>
                <w:b w:val="0"/>
                <w:i w:val="0"/>
                <w:sz w:val="20"/>
              </w:rPr>
              <w:t>Careless on compliance, biosecurity, or tier-discipline across overseen areas</w:t>
            </w:r>
          </w:p>
        </w:tc>
        <w:tc>
          <w:tcPr>
            <w:tcW w:type="dxa" w:w="2211"/>
          </w:tcPr>
          <w:p>
            <w:r/>
            <w:r>
              <w:rPr>
                <w:b w:val="0"/>
                <w:i w:val="0"/>
                <w:sz w:val="20"/>
              </w:rPr>
            </w:r>
          </w:p>
        </w:tc>
      </w:tr>
      <w:tr>
        <w:tc>
          <w:tcPr>
            <w:tcW w:type="dxa" w:w="7370"/>
          </w:tcPr>
          <w:p>
            <w:r/>
            <w:r>
              <w:rPr>
                <w:b w:val="0"/>
                <w:i w:val="0"/>
                <w:sz w:val="20"/>
              </w:rPr>
              <w:t>Undermines L4 authority or manages people unfairly</w:t>
            </w:r>
          </w:p>
        </w:tc>
        <w:tc>
          <w:tcPr>
            <w:tcW w:type="dxa" w:w="2211"/>
          </w:tcPr>
          <w:p>
            <w:r/>
            <w:r>
              <w:rPr>
                <w:b w:val="0"/>
                <w:i w:val="0"/>
                <w:sz w:val="20"/>
              </w:rPr>
            </w:r>
          </w:p>
        </w:tc>
      </w:tr>
      <w:tr>
        <w:tc>
          <w:tcPr>
            <w:tcW w:type="dxa" w:w="7370"/>
          </w:tcPr>
          <w:p>
            <w:r/>
            <w:r>
              <w:rPr>
                <w:b w:val="0"/>
                <w:i w:val="0"/>
                <w:sz w:val="20"/>
              </w:rPr>
              <w:t>Unstable or reactive under pressure; cannot hold a steady leadership line</w:t>
            </w:r>
          </w:p>
        </w:tc>
        <w:tc>
          <w:tcPr>
            <w:tcW w:type="dxa" w:w="2211"/>
          </w:tcPr>
          <w:p>
            <w:r/>
            <w:r>
              <w:rPr>
                <w:b w:val="0"/>
                <w:i w:val="0"/>
                <w:sz w:val="20"/>
              </w:rPr>
            </w:r>
          </w:p>
        </w:tc>
      </w:tr>
    </w:tbl>
    <w:p>
      <w:pPr>
        <w:spacing w:before="200" w:after="80"/>
      </w:pPr>
      <w:r>
        <w:rPr>
          <w:b/>
          <w:color w:val="1F5C2D"/>
          <w:sz w:val="22"/>
        </w:rPr>
        <w:t>Final Recommendation</w:t>
      </w:r>
    </w:p>
    <w:tbl>
      <w:tblPr>
        <w:tblStyle w:val="TableGrid"/>
        <w:tblW w:type="auto" w:w="0"/>
        <w:jc w:val="center"/>
        <w:tblLayout w:type="fixed"/>
        <w:tblLook w:firstColumn="1" w:firstRow="1" w:lastColumn="0" w:lastRow="0" w:noHBand="0" w:noVBand="1" w:val="04A0"/>
        <w:tblLayout w:type="fixed"/>
      </w:tblPr>
      <w:tblGrid>
        <w:gridCol w:w="3458"/>
        <w:gridCol w:w="2041"/>
        <w:gridCol w:w="2211"/>
        <w:gridCol w:w="1871"/>
      </w:tblGrid>
      <w:tr>
        <w:tc>
          <w:tcPr>
            <w:tcW w:type="dxa" w:w="3458"/>
          </w:tcPr>
          <w:p>
            <w:r/>
            <w:r>
              <w:rPr>
                <w:b w:val="0"/>
                <w:i w:val="0"/>
                <w:sz w:val="20"/>
              </w:rPr>
              <w:t>Decision (tick one)</w:t>
            </w:r>
          </w:p>
        </w:tc>
        <w:tc>
          <w:tcPr>
            <w:tcW w:type="dxa" w:w="2041"/>
          </w:tcPr>
          <w:p>
            <w:r/>
            <w:r>
              <w:rPr>
                <w:b w:val="0"/>
                <w:i w:val="0"/>
                <w:sz w:val="20"/>
              </w:rPr>
              <w:t>Hire  ☐</w:t>
            </w:r>
          </w:p>
        </w:tc>
        <w:tc>
          <w:tcPr>
            <w:tcW w:type="dxa" w:w="2211"/>
          </w:tcPr>
          <w:p>
            <w:r/>
            <w:r>
              <w:rPr>
                <w:b w:val="0"/>
                <w:i w:val="0"/>
                <w:sz w:val="20"/>
              </w:rPr>
              <w:t>Hold / Reserve  ☐</w:t>
            </w:r>
          </w:p>
        </w:tc>
        <w:tc>
          <w:tcPr>
            <w:tcW w:type="dxa" w:w="1871"/>
          </w:tcPr>
          <w:p>
            <w:r/>
            <w:r>
              <w:rPr>
                <w:b w:val="0"/>
                <w:i w:val="0"/>
                <w:sz w:val="20"/>
              </w:rPr>
              <w:t>Do Not Hire  ☐</w:t>
            </w:r>
          </w:p>
        </w:tc>
      </w:tr>
      <w:tr>
        <w:tc>
          <w:tcPr>
            <w:tcW w:type="dxa" w:w="3458"/>
          </w:tcPr>
          <w:p>
            <w:r/>
            <w:r>
              <w:rPr>
                <w:b w:val="0"/>
                <w:i w:val="0"/>
                <w:sz w:val="20"/>
              </w:rPr>
              <w:t>Conditions (references, pre-employment physical, medical, licensing, start date):</w:t>
            </w:r>
          </w:p>
        </w:tc>
        <w:tc>
          <w:tcPr>
            <w:tcW w:type="dxa" w:w="2041"/>
          </w:tcPr>
          <w:p>
            <w:r/>
            <w:r>
              <w:rPr>
                <w:b w:val="0"/>
                <w:i w:val="0"/>
                <w:sz w:val="20"/>
              </w:rPr>
            </w:r>
          </w:p>
        </w:tc>
        <w:tc>
          <w:tcPr>
            <w:tcW w:type="dxa" w:w="2211"/>
          </w:tcPr>
          <w:p>
            <w:r/>
            <w:r>
              <w:rPr>
                <w:b w:val="0"/>
                <w:i w:val="0"/>
                <w:sz w:val="20"/>
              </w:rPr>
            </w:r>
          </w:p>
        </w:tc>
        <w:tc>
          <w:tcPr>
            <w:tcW w:type="dxa" w:w="1871"/>
          </w:tcPr>
          <w:p>
            <w:r/>
            <w:r>
              <w:rPr>
                <w:b w:val="0"/>
                <w:i w:val="0"/>
                <w:sz w:val="20"/>
              </w:rPr>
            </w:r>
          </w:p>
        </w:tc>
      </w:tr>
      <w:tr>
        <w:tc>
          <w:tcPr>
            <w:tcW w:type="dxa" w:w="3458"/>
          </w:tcPr>
          <w:p>
            <w:r/>
            <w:r>
              <w:rPr>
                <w:b w:val="0"/>
                <w:i w:val="0"/>
                <w:sz w:val="20"/>
              </w:rPr>
              <w:t>Panel comments:</w:t>
            </w:r>
          </w:p>
        </w:tc>
        <w:tc>
          <w:tcPr>
            <w:tcW w:type="dxa" w:w="2041"/>
          </w:tcPr>
          <w:p>
            <w:r/>
            <w:r>
              <w:rPr>
                <w:b w:val="0"/>
                <w:i w:val="0"/>
                <w:sz w:val="20"/>
              </w:rPr>
            </w:r>
          </w:p>
        </w:tc>
        <w:tc>
          <w:tcPr>
            <w:tcW w:type="dxa" w:w="2211"/>
          </w:tcPr>
          <w:p>
            <w:r/>
            <w:r>
              <w:rPr>
                <w:b w:val="0"/>
                <w:i w:val="0"/>
                <w:sz w:val="20"/>
              </w:rPr>
            </w:r>
          </w:p>
        </w:tc>
        <w:tc>
          <w:tcPr>
            <w:tcW w:type="dxa" w:w="1871"/>
          </w:tcPr>
          <w:p>
            <w:r/>
            <w:r>
              <w:rPr>
                <w:b w:val="0"/>
                <w:i w:val="0"/>
                <w:sz w:val="20"/>
              </w:rPr>
            </w:r>
          </w:p>
        </w:tc>
      </w:tr>
    </w:tbl>
    <w:tbl>
      <w:tblPr>
        <w:tblStyle w:val="TableGrid"/>
        <w:tblW w:type="auto" w:w="0"/>
        <w:jc w:val="center"/>
        <w:tblLayout w:type="fixed"/>
        <w:tblLook w:firstColumn="1" w:firstRow="1" w:lastColumn="0" w:lastRow="0" w:noHBand="0" w:noVBand="1" w:val="04A0"/>
        <w:tblLayout w:type="fixed"/>
      </w:tblPr>
      <w:tblGrid>
        <w:gridCol w:w="4819"/>
        <w:gridCol w:w="4762"/>
      </w:tblGrid>
      <w:tr>
        <w:tc>
          <w:tcPr>
            <w:tcW w:type="dxa" w:w="4819"/>
          </w:tcPr>
          <w:p>
            <w:r/>
            <w:r>
              <w:rPr>
                <w:b w:val="0"/>
                <w:i w:val="0"/>
                <w:sz w:val="20"/>
              </w:rPr>
              <w:t>Panel Member 1 (Chair — Breeding Farm Manager) — Name / Signature / Date</w:t>
            </w:r>
          </w:p>
        </w:tc>
        <w:tc>
          <w:tcPr>
            <w:tcW w:type="dxa" w:w="4762"/>
          </w:tcPr>
          <w:p>
            <w:r/>
            <w:r>
              <w:rPr>
                <w:b w:val="0"/>
                <w:i w:val="0"/>
                <w:sz w:val="20"/>
              </w:rPr>
            </w:r>
          </w:p>
        </w:tc>
      </w:tr>
      <w:tr>
        <w:tc>
          <w:tcPr>
            <w:tcW w:type="dxa" w:w="4819"/>
          </w:tcPr>
          <w:p>
            <w:r/>
            <w:r>
              <w:rPr>
                <w:b w:val="0"/>
                <w:i w:val="0"/>
                <w:sz w:val="20"/>
              </w:rPr>
              <w:t>Panel Member 2 (Operations/Production Manager) — Name / Signature / Date</w:t>
            </w:r>
          </w:p>
        </w:tc>
        <w:tc>
          <w:tcPr>
            <w:tcW w:type="dxa" w:w="4762"/>
          </w:tcPr>
          <w:p>
            <w:r/>
            <w:r>
              <w:rPr>
                <w:b w:val="0"/>
                <w:i w:val="0"/>
                <w:sz w:val="20"/>
              </w:rPr>
            </w:r>
          </w:p>
        </w:tc>
      </w:tr>
      <w:tr>
        <w:tc>
          <w:tcPr>
            <w:tcW w:type="dxa" w:w="4819"/>
          </w:tcPr>
          <w:p>
            <w:r/>
            <w:r>
              <w:rPr>
                <w:b w:val="0"/>
                <w:i w:val="0"/>
                <w:sz w:val="20"/>
              </w:rPr>
              <w:t>Panel Member 3 (Veterinarian) — Name / Signature / Date</w:t>
            </w:r>
          </w:p>
        </w:tc>
        <w:tc>
          <w:tcPr>
            <w:tcW w:type="dxa" w:w="4762"/>
          </w:tcPr>
          <w:p>
            <w:r/>
            <w:r>
              <w:rPr>
                <w:b w:val="0"/>
                <w:i w:val="0"/>
                <w:sz w:val="20"/>
              </w:rPr>
            </w:r>
          </w:p>
        </w:tc>
      </w:tr>
      <w:tr>
        <w:tc>
          <w:tcPr>
            <w:tcW w:type="dxa" w:w="4819"/>
          </w:tcPr>
          <w:p>
            <w:r/>
            <w:r>
              <w:rPr>
                <w:b w:val="0"/>
                <w:i w:val="0"/>
                <w:sz w:val="20"/>
              </w:rPr>
              <w:t>Approved by Operations/Production Manager — Name / Signature / Date</w:t>
            </w:r>
          </w:p>
        </w:tc>
        <w:tc>
          <w:tcPr>
            <w:tcW w:type="dxa" w:w="4762"/>
          </w:tcPr>
          <w:p>
            <w:r/>
            <w:r>
              <w:rPr>
                <w:b w:val="0"/>
                <w:i w:val="0"/>
                <w:sz w:val="20"/>
              </w:rPr>
            </w:r>
          </w:p>
        </w:tc>
      </w:tr>
    </w:tbl>
    <w:p>
      <w:pPr>
        <w:spacing w:before="200"/>
      </w:pPr>
      <w:r>
        <w:rPr>
          <w:i/>
          <w:sz w:val="17"/>
        </w:rPr>
        <w:t>Wills Farms Ltd. — Internal Use Only. Appointment is confirmed only after reference checks, verification of qualifications, and the probation terms set out in the Breeding Operations HR Manual v2.1.</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