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B2F69" w14:textId="64F20BB0" w:rsidR="00217BB6" w:rsidRPr="00474D65" w:rsidRDefault="00C81FDB" w:rsidP="00B214F3">
      <w:pPr>
        <w:spacing w:after="400"/>
        <w:rPr>
          <w:rFonts w:asciiTheme="majorBidi" w:hAnsiTheme="majorBidi" w:cstheme="majorBidi"/>
        </w:rPr>
      </w:pPr>
      <w:r w:rsidRPr="00474D65">
        <w:rPr>
          <w:rFonts w:asciiTheme="majorBidi" w:hAnsiTheme="majorBidi" w:cstheme="majorBidi"/>
          <w:noProof/>
        </w:rPr>
        <w:drawing>
          <wp:inline distT="0" distB="0" distL="0" distR="0" wp14:anchorId="29BF6039" wp14:editId="2DDB271A">
            <wp:extent cx="6263999" cy="17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logos_strip.png"/>
                    <pic:cNvPicPr/>
                  </pic:nvPicPr>
                  <pic:blipFill>
                    <a:blip r:embed="rId8"/>
                    <a:stretch>
                      <a:fillRect/>
                    </a:stretch>
                  </pic:blipFill>
                  <pic:spPr>
                    <a:xfrm>
                      <a:off x="0" y="0"/>
                      <a:ext cx="6263999" cy="1726080"/>
                    </a:xfrm>
                    <a:prstGeom prst="rect">
                      <a:avLst/>
                    </a:prstGeom>
                  </pic:spPr>
                </pic:pic>
              </a:graphicData>
            </a:graphic>
          </wp:inline>
        </w:drawing>
      </w:r>
    </w:p>
    <w:p w14:paraId="1DDBABD1" w14:textId="0F5B2EF8" w:rsidR="00CD5745" w:rsidRPr="00CD5745" w:rsidRDefault="00B214F3" w:rsidP="00CD5745">
      <w:pPr>
        <w:pStyle w:val="Title"/>
        <w:jc w:val="center"/>
        <w:rPr>
          <w:rFonts w:ascii="Arabic Typesetting" w:hAnsi="Arabic Typesetting" w:cs="Arabic Typesetting"/>
          <w:b/>
          <w:bCs/>
          <w:sz w:val="24"/>
          <w:szCs w:val="24"/>
        </w:rPr>
      </w:pPr>
      <w:bookmarkStart w:id="0" w:name="_Hlk213361118"/>
      <w:bookmarkEnd w:id="0"/>
      <w:r w:rsidRPr="00CD5745">
        <w:rPr>
          <w:rFonts w:ascii="Arabic Typesetting" w:hAnsi="Arabic Typesetting" w:cs="Arabic Typesetting" w:hint="cs"/>
          <w:b/>
          <w:bCs/>
          <w:sz w:val="48"/>
          <w:szCs w:val="48"/>
        </w:rPr>
        <w:t xml:space="preserve">  </w:t>
      </w:r>
      <w:bookmarkStart w:id="1" w:name="_Hlk213330093"/>
      <w:r w:rsidRPr="00CD5745">
        <w:rPr>
          <w:rFonts w:ascii="Arabic Typesetting" w:hAnsi="Arabic Typesetting" w:cs="Arabic Typesetting" w:hint="cs"/>
          <w:b/>
          <w:bCs/>
          <w:sz w:val="36"/>
          <w:szCs w:val="36"/>
        </w:rPr>
        <w:t xml:space="preserve">( </w:t>
      </w:r>
      <w:r w:rsidRPr="00CD5745">
        <w:rPr>
          <w:rFonts w:ascii="Arabic Typesetting" w:hAnsi="Arabic Typesetting" w:cs="Arabic Typesetting"/>
          <w:b/>
          <w:bCs/>
          <w:sz w:val="48"/>
          <w:szCs w:val="48"/>
        </w:rPr>
        <w:t xml:space="preserve">بسم الله الرحمن الرحيم </w:t>
      </w:r>
      <w:r w:rsidRPr="00CD5745">
        <w:rPr>
          <w:rFonts w:ascii="Arabic Typesetting" w:hAnsi="Arabic Typesetting" w:cs="Arabic Typesetting" w:hint="cs"/>
          <w:b/>
          <w:bCs/>
          <w:sz w:val="24"/>
          <w:szCs w:val="24"/>
        </w:rPr>
        <w:t>)</w:t>
      </w:r>
      <w:bookmarkEnd w:id="1"/>
    </w:p>
    <w:p w14:paraId="4E4DB3EC" w14:textId="77777777" w:rsidR="00217BB6" w:rsidRPr="001377C1" w:rsidRDefault="00C81FDB">
      <w:pPr>
        <w:spacing w:after="100"/>
        <w:jc w:val="center"/>
        <w:rPr>
          <w:rFonts w:asciiTheme="majorBidi" w:hAnsiTheme="majorBidi" w:cstheme="majorBidi"/>
          <w:bCs/>
          <w:sz w:val="40"/>
          <w:szCs w:val="40"/>
        </w:rPr>
      </w:pPr>
      <w:r w:rsidRPr="001377C1">
        <w:rPr>
          <w:rFonts w:asciiTheme="majorBidi" w:eastAsia="Noto Kufi Arabic" w:hAnsiTheme="majorBidi" w:cstheme="majorBidi"/>
          <w:bCs/>
          <w:color w:val="06233F"/>
          <w:sz w:val="180"/>
          <w:szCs w:val="40"/>
        </w:rPr>
        <w:t>ميزان</w:t>
      </w:r>
    </w:p>
    <w:p w14:paraId="15FC4EFC" w14:textId="77777777" w:rsidR="00217BB6" w:rsidRPr="001377C1" w:rsidRDefault="00C81FDB">
      <w:pPr>
        <w:spacing w:after="360"/>
        <w:jc w:val="center"/>
        <w:rPr>
          <w:rFonts w:asciiTheme="majorBidi" w:hAnsiTheme="majorBidi" w:cstheme="majorBidi"/>
          <w:bCs/>
          <w:sz w:val="28"/>
          <w:szCs w:val="28"/>
        </w:rPr>
      </w:pPr>
      <w:r w:rsidRPr="001377C1">
        <w:rPr>
          <w:rFonts w:asciiTheme="majorBidi" w:eastAsia="Noto Kufi Arabic" w:hAnsiTheme="majorBidi" w:cstheme="majorBidi"/>
          <w:bCs/>
          <w:color w:val="142536"/>
          <w:sz w:val="40"/>
          <w:szCs w:val="28"/>
        </w:rPr>
        <w:t>ذكاء نزاهة المزادات</w:t>
      </w:r>
    </w:p>
    <w:p w14:paraId="0B6EE2C1" w14:textId="77777777" w:rsidR="00217BB6" w:rsidRPr="00474D65" w:rsidRDefault="00C81FDB">
      <w:pPr>
        <w:spacing w:after="400"/>
        <w:jc w:val="center"/>
        <w:rPr>
          <w:rFonts w:asciiTheme="majorBidi" w:hAnsiTheme="majorBidi" w:cstheme="majorBidi"/>
        </w:rPr>
      </w:pPr>
      <w:r w:rsidRPr="00474D65">
        <w:rPr>
          <w:rFonts w:ascii="MS Mincho" w:eastAsia="MS Mincho" w:hAnsi="MS Mincho" w:cs="MS Mincho" w:hint="eastAsia"/>
          <w:b/>
          <w:color w:val="10BFC3"/>
          <w:sz w:val="22"/>
        </w:rPr>
        <w:t>━━━━━━━━━━━━━━━━━━━━</w:t>
      </w:r>
    </w:p>
    <w:p w14:paraId="37FDCB59" w14:textId="77777777" w:rsidR="00217BB6" w:rsidRPr="00474D65" w:rsidRDefault="00C81FDB">
      <w:pPr>
        <w:spacing w:after="100"/>
        <w:jc w:val="center"/>
        <w:rPr>
          <w:rFonts w:asciiTheme="majorBidi" w:hAnsiTheme="majorBidi" w:cstheme="majorBidi"/>
        </w:rPr>
      </w:pPr>
      <w:r w:rsidRPr="00474D65">
        <w:rPr>
          <w:rFonts w:asciiTheme="majorBidi" w:eastAsia="Noto Kufi Arabic" w:hAnsiTheme="majorBidi" w:cstheme="majorBidi"/>
          <w:b/>
          <w:color w:val="06233F"/>
          <w:sz w:val="26"/>
        </w:rPr>
        <w:t>هاكاثون ابتكار إنفاذ</w:t>
      </w:r>
    </w:p>
    <w:p w14:paraId="1E6EE8E1" w14:textId="77777777" w:rsidR="00217BB6" w:rsidRPr="00474D65" w:rsidRDefault="00C81FDB">
      <w:pPr>
        <w:spacing w:after="400"/>
        <w:jc w:val="center"/>
        <w:rPr>
          <w:rFonts w:asciiTheme="majorBidi" w:hAnsiTheme="majorBidi" w:cstheme="majorBidi"/>
        </w:rPr>
      </w:pPr>
      <w:r w:rsidRPr="00474D65">
        <w:rPr>
          <w:rFonts w:asciiTheme="majorBidi" w:eastAsia="Noto Naskh Arabic" w:hAnsiTheme="majorBidi" w:cstheme="majorBidi"/>
          <w:b/>
          <w:color w:val="142536"/>
          <w:sz w:val="25"/>
        </w:rPr>
        <w:t>المسار: المزادات</w:t>
      </w:r>
    </w:p>
    <w:tbl>
      <w:tblPr>
        <w:bidiVisual/>
        <w:tblW w:w="0" w:type="auto"/>
        <w:jc w:val="center"/>
        <w:tblLook w:val="04A0" w:firstRow="1" w:lastRow="0" w:firstColumn="1" w:lastColumn="0" w:noHBand="0" w:noVBand="1"/>
      </w:tblPr>
      <w:tblGrid>
        <w:gridCol w:w="4933"/>
        <w:gridCol w:w="4933"/>
      </w:tblGrid>
      <w:tr w:rsidR="009A31E7" w:rsidRPr="00474D65" w14:paraId="288BBB1E"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37AC6742" w14:textId="069E7718" w:rsidR="009A31E7" w:rsidRPr="00474D65" w:rsidRDefault="009A31E7">
            <w:pPr>
              <w:rPr>
                <w:rFonts w:asciiTheme="majorBidi" w:eastAsia="Noto Naskh Arabic" w:hAnsiTheme="majorBidi" w:cstheme="majorBidi"/>
                <w:b/>
                <w:color w:val="06233F"/>
                <w:sz w:val="20"/>
              </w:rPr>
            </w:pPr>
            <w:r w:rsidRPr="00474D65">
              <w:rPr>
                <w:rFonts w:asciiTheme="majorBidi" w:eastAsia="Noto Naskh Arabic" w:hAnsiTheme="majorBidi" w:cstheme="majorBidi"/>
                <w:color w:val="142536"/>
              </w:rPr>
              <w:t>الجهة المستهدفة</w:t>
            </w:r>
          </w:p>
        </w:tc>
        <w:tc>
          <w:tcPr>
            <w:tcW w:w="4933" w:type="dxa"/>
            <w:tcBorders>
              <w:bottom w:val="single" w:sz="3" w:space="0" w:color="C7D2DA"/>
            </w:tcBorders>
            <w:shd w:val="clear" w:color="auto" w:fill="FFFFFF"/>
            <w:tcMar>
              <w:top w:w="80" w:type="dxa"/>
              <w:left w:w="100" w:type="dxa"/>
              <w:bottom w:w="80" w:type="dxa"/>
              <w:right w:w="100" w:type="dxa"/>
            </w:tcMar>
          </w:tcPr>
          <w:p w14:paraId="6C021FD2" w14:textId="0F149BD8" w:rsidR="009A31E7" w:rsidRDefault="009A31E7">
            <w:pPr>
              <w:rPr>
                <w:rFonts w:asciiTheme="majorBidi" w:hAnsiTheme="majorBidi" w:cstheme="majorBidi"/>
                <w:rtl w:val="0"/>
                <w:cs w:val="0"/>
              </w:rPr>
            </w:pPr>
            <w:r w:rsidRPr="00474D65">
              <w:rPr>
                <w:rFonts w:asciiTheme="majorBidi" w:eastAsia="Noto Naskh Arabic" w:hAnsiTheme="majorBidi" w:cstheme="majorBidi"/>
                <w:color w:val="142536"/>
              </w:rPr>
              <w:t>هاكاثون ابتكار إنفاذ - جامعة القصيم ومركز الإسناد والتصفية «إنفاذ»</w:t>
            </w:r>
          </w:p>
        </w:tc>
      </w:tr>
      <w:tr w:rsidR="00217BB6" w:rsidRPr="00474D65" w14:paraId="356BF66E"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1FE8C786"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b/>
                <w:color w:val="06233F"/>
                <w:sz w:val="20"/>
              </w:rPr>
              <w:t>اسم الفريق</w:t>
            </w:r>
          </w:p>
        </w:tc>
        <w:tc>
          <w:tcPr>
            <w:tcW w:w="4933" w:type="dxa"/>
            <w:tcBorders>
              <w:bottom w:val="single" w:sz="3" w:space="0" w:color="C7D2DA"/>
            </w:tcBorders>
            <w:shd w:val="clear" w:color="auto" w:fill="FFFFFF"/>
            <w:tcMar>
              <w:top w:w="80" w:type="dxa"/>
              <w:left w:w="100" w:type="dxa"/>
              <w:bottom w:w="80" w:type="dxa"/>
              <w:right w:w="100" w:type="dxa"/>
            </w:tcMar>
          </w:tcPr>
          <w:p w14:paraId="403B139B" w14:textId="7E91F83A" w:rsidR="00217BB6" w:rsidRPr="00474D65" w:rsidRDefault="00521F16">
            <w:pPr>
              <w:rPr>
                <w:rFonts w:asciiTheme="majorBidi" w:hAnsiTheme="majorBidi" w:cstheme="majorBidi"/>
                <w:rtl w:val="0"/>
                <w:cs w:val="0"/>
              </w:rPr>
            </w:pPr>
            <w:r>
              <w:rPr>
                <w:rFonts w:asciiTheme="majorBidi" w:hAnsiTheme="majorBidi" w:cstheme="majorBidi"/>
                <w:rtl w:val="0"/>
                <w:cs w:val="0"/>
              </w:rPr>
              <w:t>kernel</w:t>
            </w:r>
          </w:p>
        </w:tc>
      </w:tr>
      <w:tr w:rsidR="00521F16" w:rsidRPr="00474D65" w14:paraId="30E29169"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171B59FB" w14:textId="322D1DE4" w:rsidR="00521F16" w:rsidRPr="00474D65" w:rsidRDefault="00521F16">
            <w:pPr>
              <w:rPr>
                <w:rFonts w:asciiTheme="majorBidi" w:eastAsia="Noto Naskh Arabic" w:hAnsiTheme="majorBidi" w:cstheme="majorBidi"/>
                <w:b/>
                <w:color w:val="06233F"/>
                <w:sz w:val="20"/>
                <w:rtl w:val="0"/>
              </w:rPr>
            </w:pPr>
            <w:r>
              <w:rPr>
                <w:rFonts w:asciiTheme="majorBidi" w:eastAsia="Noto Naskh Arabic" w:hAnsiTheme="majorBidi" w:cstheme="majorBidi" w:hint="cs"/>
                <w:b/>
                <w:color w:val="06233F"/>
                <w:sz w:val="20"/>
                <w:cs w:val="0"/>
              </w:rPr>
              <w:t>قائد الفريق</w:t>
            </w:r>
          </w:p>
        </w:tc>
        <w:tc>
          <w:tcPr>
            <w:tcW w:w="4933" w:type="dxa"/>
            <w:tcBorders>
              <w:bottom w:val="single" w:sz="3" w:space="0" w:color="C7D2DA"/>
            </w:tcBorders>
            <w:shd w:val="clear" w:color="auto" w:fill="FFFFFF"/>
            <w:tcMar>
              <w:top w:w="80" w:type="dxa"/>
              <w:left w:w="100" w:type="dxa"/>
              <w:bottom w:w="80" w:type="dxa"/>
              <w:right w:w="100" w:type="dxa"/>
            </w:tcMar>
          </w:tcPr>
          <w:p w14:paraId="0F57A85C" w14:textId="1E85F6AD" w:rsidR="00521F16" w:rsidRDefault="00521F16">
            <w:pPr>
              <w:rPr>
                <w:rFonts w:asciiTheme="majorBidi" w:hAnsiTheme="majorBidi" w:cstheme="majorBidi"/>
                <w:rtl w:val="0"/>
                <w:cs w:val="0"/>
              </w:rPr>
            </w:pPr>
            <w:r>
              <w:rPr>
                <w:rFonts w:asciiTheme="majorBidi" w:hAnsiTheme="majorBidi" w:cstheme="majorBidi" w:hint="cs"/>
                <w:cs w:val="0"/>
              </w:rPr>
              <w:t xml:space="preserve">صفاء عبد الرحمن الغفيص </w:t>
            </w:r>
          </w:p>
        </w:tc>
      </w:tr>
      <w:tr w:rsidR="00217BB6" w:rsidRPr="00474D65" w14:paraId="36091692"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09D99AA1"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b/>
                <w:color w:val="06233F"/>
                <w:sz w:val="20"/>
              </w:rPr>
              <w:t>عضو الفريق الأول</w:t>
            </w:r>
          </w:p>
        </w:tc>
        <w:tc>
          <w:tcPr>
            <w:tcW w:w="4933" w:type="dxa"/>
            <w:tcBorders>
              <w:bottom w:val="single" w:sz="3" w:space="0" w:color="C7D2DA"/>
            </w:tcBorders>
            <w:shd w:val="clear" w:color="auto" w:fill="FFFFFF"/>
            <w:tcMar>
              <w:top w:w="80" w:type="dxa"/>
              <w:left w:w="100" w:type="dxa"/>
              <w:bottom w:w="80" w:type="dxa"/>
              <w:right w:w="100" w:type="dxa"/>
            </w:tcMar>
          </w:tcPr>
          <w:p w14:paraId="7C0DBC98"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color w:val="142536"/>
                <w:sz w:val="20"/>
              </w:rPr>
              <w:t>إدريس جان محمد</w:t>
            </w:r>
          </w:p>
        </w:tc>
      </w:tr>
      <w:tr w:rsidR="00217BB6" w:rsidRPr="00474D65" w14:paraId="06568F1F"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15B3A28D"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b/>
                <w:color w:val="06233F"/>
                <w:sz w:val="20"/>
              </w:rPr>
              <w:t>عضو الفريق الثاني</w:t>
            </w:r>
          </w:p>
        </w:tc>
        <w:tc>
          <w:tcPr>
            <w:tcW w:w="4933" w:type="dxa"/>
            <w:tcBorders>
              <w:bottom w:val="single" w:sz="3" w:space="0" w:color="C7D2DA"/>
            </w:tcBorders>
            <w:shd w:val="clear" w:color="auto" w:fill="FFFFFF"/>
            <w:tcMar>
              <w:top w:w="80" w:type="dxa"/>
              <w:left w:w="100" w:type="dxa"/>
              <w:bottom w:w="80" w:type="dxa"/>
              <w:right w:w="100" w:type="dxa"/>
            </w:tcMar>
          </w:tcPr>
          <w:p w14:paraId="276FC7F3" w14:textId="7A8E64AD" w:rsidR="00217BB6" w:rsidRPr="00474D65" w:rsidRDefault="00521F16">
            <w:pPr>
              <w:rPr>
                <w:rFonts w:asciiTheme="majorBidi" w:hAnsiTheme="majorBidi" w:cstheme="majorBidi"/>
              </w:rPr>
            </w:pPr>
            <w:r>
              <w:rPr>
                <w:rFonts w:asciiTheme="majorBidi" w:eastAsia="Noto Naskh Arabic" w:hAnsiTheme="majorBidi" w:cstheme="majorBidi" w:hint="cs"/>
                <w:color w:val="142536"/>
                <w:sz w:val="20"/>
              </w:rPr>
              <w:t xml:space="preserve">غيد عبد الكريم ابو مغارة </w:t>
            </w:r>
          </w:p>
        </w:tc>
      </w:tr>
      <w:tr w:rsidR="00217BB6" w:rsidRPr="00474D65" w14:paraId="7367772F"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41BD4392"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b/>
                <w:color w:val="06233F"/>
                <w:sz w:val="20"/>
              </w:rPr>
              <w:t>عضو الفريق الثالث</w:t>
            </w:r>
          </w:p>
        </w:tc>
        <w:tc>
          <w:tcPr>
            <w:tcW w:w="4933" w:type="dxa"/>
            <w:tcBorders>
              <w:bottom w:val="single" w:sz="3" w:space="0" w:color="C7D2DA"/>
            </w:tcBorders>
            <w:shd w:val="clear" w:color="auto" w:fill="FFFFFF"/>
            <w:tcMar>
              <w:top w:w="80" w:type="dxa"/>
              <w:left w:w="100" w:type="dxa"/>
              <w:bottom w:w="80" w:type="dxa"/>
              <w:right w:w="100" w:type="dxa"/>
            </w:tcMar>
          </w:tcPr>
          <w:p w14:paraId="14D6116E" w14:textId="1DB98DF2" w:rsidR="00217BB6" w:rsidRPr="00474D65" w:rsidRDefault="00521F16">
            <w:pPr>
              <w:rPr>
                <w:rFonts w:asciiTheme="majorBidi" w:hAnsiTheme="majorBidi" w:cstheme="majorBidi"/>
              </w:rPr>
            </w:pPr>
            <w:r>
              <w:rPr>
                <w:rFonts w:asciiTheme="majorBidi" w:eastAsia="Noto Naskh Arabic" w:hAnsiTheme="majorBidi" w:cstheme="majorBidi" w:hint="cs"/>
                <w:color w:val="142536"/>
                <w:sz w:val="20"/>
              </w:rPr>
              <w:t xml:space="preserve">كيان صالح الفاجح </w:t>
            </w:r>
          </w:p>
        </w:tc>
      </w:tr>
      <w:tr w:rsidR="00217BB6" w:rsidRPr="00474D65" w14:paraId="5CC6DDB1"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607A96C1"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b/>
                <w:color w:val="06233F"/>
                <w:sz w:val="20"/>
              </w:rPr>
              <w:t>تاريخ إعداد الدراسة</w:t>
            </w:r>
          </w:p>
        </w:tc>
        <w:tc>
          <w:tcPr>
            <w:tcW w:w="4933" w:type="dxa"/>
            <w:tcBorders>
              <w:bottom w:val="single" w:sz="3" w:space="0" w:color="C7D2DA"/>
            </w:tcBorders>
            <w:shd w:val="clear" w:color="auto" w:fill="FFFFFF"/>
            <w:tcMar>
              <w:top w:w="80" w:type="dxa"/>
              <w:left w:w="100" w:type="dxa"/>
              <w:bottom w:w="80" w:type="dxa"/>
              <w:right w:w="100" w:type="dxa"/>
            </w:tcMar>
          </w:tcPr>
          <w:p w14:paraId="59F6667E" w14:textId="77777777" w:rsidR="00217BB6" w:rsidRPr="00474D65" w:rsidRDefault="00C81FDB">
            <w:pPr>
              <w:rPr>
                <w:rFonts w:asciiTheme="majorBidi" w:hAnsiTheme="majorBidi" w:cstheme="majorBidi"/>
              </w:rPr>
            </w:pPr>
            <w:r w:rsidRPr="00474D65">
              <w:rPr>
                <w:rFonts w:asciiTheme="majorBidi" w:eastAsia="Noto Naskh Arabic" w:hAnsiTheme="majorBidi" w:cstheme="majorBidi"/>
                <w:color w:val="142536"/>
                <w:sz w:val="20"/>
              </w:rPr>
              <w:t>24 أغسطس 2026م</w:t>
            </w:r>
          </w:p>
        </w:tc>
      </w:tr>
    </w:tbl>
    <w:p w14:paraId="5939E399" w14:textId="77777777" w:rsidR="009A31E7" w:rsidRDefault="009A31E7" w:rsidP="009A31E7">
      <w:pPr>
        <w:jc w:val="center"/>
        <w:rPr>
          <w:rFonts w:asciiTheme="majorBidi" w:eastAsia="Noto Naskh Arabic" w:hAnsiTheme="majorBidi" w:cstheme="majorBidi"/>
          <w:b/>
          <w:color w:val="06233F"/>
          <w:sz w:val="26"/>
        </w:rPr>
      </w:pPr>
    </w:p>
    <w:p w14:paraId="02304FAF" w14:textId="77777777" w:rsidR="009A31E7" w:rsidRDefault="009A31E7" w:rsidP="00474D65">
      <w:pPr>
        <w:pStyle w:val="Heading1"/>
        <w:spacing w:before="200" w:after="80"/>
        <w:rPr>
          <w:rFonts w:asciiTheme="majorBidi" w:eastAsia="Noto Kufi Arabic" w:hAnsiTheme="majorBidi"/>
        </w:rPr>
      </w:pPr>
    </w:p>
    <w:p w14:paraId="0A618C1A" w14:textId="7EF6DF4E" w:rsidR="00217BB6" w:rsidRPr="00474D65" w:rsidRDefault="00C81FDB" w:rsidP="00474D65">
      <w:pPr>
        <w:pStyle w:val="Heading1"/>
        <w:spacing w:before="200" w:after="80"/>
        <w:rPr>
          <w:rFonts w:asciiTheme="majorBidi" w:hAnsiTheme="majorBidi"/>
        </w:rPr>
      </w:pPr>
      <w:bookmarkStart w:id="2" w:name="_Toc238548571"/>
      <w:r w:rsidRPr="00474D65">
        <w:rPr>
          <w:rFonts w:asciiTheme="majorBidi" w:eastAsia="Noto Kufi Arabic" w:hAnsiTheme="majorBidi"/>
        </w:rPr>
        <w:t>الملخص</w:t>
      </w:r>
      <w:bookmarkEnd w:id="2"/>
    </w:p>
    <w:p w14:paraId="5B4867E2" w14:textId="24AB6EF5" w:rsidR="00217BB6" w:rsidRPr="00474D65" w:rsidRDefault="00C81FDB" w:rsidP="009A31E7">
      <w:pPr>
        <w:pStyle w:val="BodyArabic"/>
        <w:spacing w:after="110" w:line="360" w:lineRule="auto"/>
        <w:jc w:val="both"/>
        <w:rPr>
          <w:rFonts w:asciiTheme="majorBidi" w:hAnsiTheme="majorBidi" w:cstheme="majorBidi"/>
        </w:rPr>
      </w:pPr>
      <w:r w:rsidRPr="00474D65">
        <w:rPr>
          <w:rFonts w:asciiTheme="majorBidi" w:eastAsia="Noto Naskh Arabic" w:hAnsiTheme="majorBidi" w:cstheme="majorBidi"/>
        </w:rPr>
        <w:t>يقدّم «ميزان» طبقة ذكية لنزاهة المزادات تعمل إلى جانب منصة المزاد القائمة. تنطلق الفكرة من أن اتساع نطاق المزادات الإلكترونية وارتفاع قيمتها يرفعان الحاجة إلى أدوات تساعد المراجع البشري على فرز التدفقات الكبيرة من أحداث المزايدة، وفهم الأنماط غير الاعتيادية، والتحقق من سلامة السجل الذي بُني عليه التحليل. ويعالج ميزان هذه الحاجة عبر مسارين متكاملين: الأول يحلل السلوك باستخدام مؤشرات قابلة للتفسير لرصد الانحراف عن السلوك المعتاد وإظهار العلاقات المتكررة بين المزايدين، والثاني ينشئ سجلًا مترابطًا ببصمات تشفيرية يكشف أي تغيير لاحق في نسخة سجل المزايدات.</w:t>
      </w:r>
    </w:p>
    <w:p w14:paraId="03C629EA" w14:textId="77777777" w:rsidR="00217BB6" w:rsidRPr="00474D65" w:rsidRDefault="00C81FDB" w:rsidP="009A31E7">
      <w:pPr>
        <w:pStyle w:val="BodyArabic"/>
        <w:spacing w:after="110" w:line="360" w:lineRule="auto"/>
        <w:jc w:val="both"/>
        <w:rPr>
          <w:rFonts w:asciiTheme="majorBidi" w:hAnsiTheme="majorBidi" w:cstheme="majorBidi"/>
        </w:rPr>
      </w:pPr>
      <w:r w:rsidRPr="00474D65">
        <w:rPr>
          <w:rFonts w:asciiTheme="majorBidi" w:eastAsia="Noto Naskh Arabic" w:hAnsiTheme="majorBidi" w:cstheme="majorBidi"/>
        </w:rPr>
        <w:t>لا يصدر ميزان حكمًا آليًا بوجود احتيال ولا يصف أي مزايد بأنه متلاعب؛ بل يصوغ النتيجة على أنها «نمط غير اعتيادي - يوصى بالمراجعة»، مع عرض الأسباب والأحداث الداعمة للمراجع المختص. ويتوافق هذا التوجه مع هدف مسار المزادات في ابتكار إنفاذ الذي يركز على رفع الكفاءة والشفافية والثقة وتحسين تجربة الأطراف باستخدام التقنيات الحديثة والذكاء الاصطناعي (جامعة القصيم، 2026). كما تكتسب الفكرة أهميتها من حجم أعمال إنفاذ؛ إذ أعلن المركز أن مبيعات النصف الأول من 2026 تجاوزت 10.7 مليارات ريال، مع بيع أو تصفية 3,089 أصلًا وتنفيذ 814 مزادًا حضوريًا وإلكترونيًا (مركز الإسناد والتصفية «إنفاذ»، 2026أ).</w:t>
      </w:r>
    </w:p>
    <w:p w14:paraId="49F0EABC" w14:textId="64539AA4" w:rsidR="00516B4B" w:rsidRDefault="00C81FDB" w:rsidP="00D15F47">
      <w:pPr>
        <w:pStyle w:val="BodyArabic"/>
        <w:spacing w:after="110" w:line="360" w:lineRule="auto"/>
        <w:jc w:val="both"/>
        <w:rPr>
          <w:rFonts w:asciiTheme="majorBidi" w:eastAsia="Noto Naskh Arabic" w:hAnsiTheme="majorBidi" w:cstheme="majorBidi"/>
        </w:rPr>
      </w:pPr>
      <w:r w:rsidRPr="00474D65">
        <w:rPr>
          <w:rFonts w:asciiTheme="majorBidi" w:eastAsia="Noto Naskh Arabic" w:hAnsiTheme="majorBidi" w:cstheme="majorBidi"/>
        </w:rPr>
        <w:t>تخلص الدراسة إلى أن عناصر ميزان الأساسية قابلة للتنفيذ تقنيًا استنادًا إلى ممارسات تشغيلية وأبحاث منشورة ومعايير تشفيرية ناضجة، وأن قيمته الابتكارية ليست في اختراع كل تقنية بصورة منفردة، بل في جمع تحليل السلوك القابل للتفسير، وخريطة العلاقات، وسلامة السجل، وتقرير النزاهة في تجربة واحدة مصممة لسياق المزادات المرتبطة بأعمال البيع والتصفية. ويُوصى بتقديم ميزان بوصفه نظام دعم قرار ورقابة مبكرة يعزز قدرة المراجع، مع حوكمة واضحة للخصوصية والبيانات والمراجعة البشرية.</w:t>
      </w:r>
    </w:p>
    <w:p w14:paraId="71F146AB" w14:textId="7E90FA6B" w:rsidR="00D15F47" w:rsidRDefault="00D15F47" w:rsidP="001377C1">
      <w:pPr>
        <w:pStyle w:val="Heading1"/>
        <w:spacing w:before="200" w:after="80"/>
        <w:rPr>
          <w:rFonts w:asciiTheme="majorBidi" w:eastAsia="Noto Kufi Arabic" w:hAnsiTheme="majorBidi"/>
        </w:rPr>
      </w:pPr>
      <w:bookmarkStart w:id="3" w:name="_Toc238548572"/>
      <w:r>
        <w:rPr>
          <w:rFonts w:asciiTheme="majorBidi" w:eastAsia="Noto Kufi Arabic" w:hAnsiTheme="majorBidi" w:hint="cs"/>
        </w:rPr>
        <w:t>رسومات توضيحة للفكرة</w:t>
      </w:r>
      <w:bookmarkEnd w:id="3"/>
      <w:r>
        <w:rPr>
          <w:rFonts w:asciiTheme="majorBidi" w:eastAsia="Noto Kufi Arabic" w:hAnsiTheme="majorBidi" w:hint="cs"/>
        </w:rPr>
        <w:t xml:space="preserve"> </w:t>
      </w:r>
    </w:p>
    <w:p w14:paraId="1AE3D0BC" w14:textId="0B3F9F2C" w:rsidR="00D15F47" w:rsidRPr="00D15F47" w:rsidRDefault="001377C1" w:rsidP="00D15F47">
      <w:r>
        <w:rPr>
          <w:noProof/>
          <w:cs w:val="0"/>
          <w:lang w:val="ar-SA"/>
        </w:rPr>
        <w:drawing>
          <wp:inline distT="0" distB="0" distL="0" distR="0" wp14:anchorId="3CC9CA05" wp14:editId="6B9932E0">
            <wp:extent cx="6264910" cy="41001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4910" cy="4100195"/>
                    </a:xfrm>
                    <a:prstGeom prst="rect">
                      <a:avLst/>
                    </a:prstGeom>
                  </pic:spPr>
                </pic:pic>
              </a:graphicData>
            </a:graphic>
          </wp:inline>
        </w:drawing>
      </w:r>
      <w:r w:rsidRPr="001377C1">
        <w:rPr>
          <w:noProof/>
          <w:cs w:val="0"/>
          <w:lang w:val="ar-SA"/>
        </w:rPr>
        <w:t xml:space="preserve"> </w:t>
      </w:r>
      <w:r>
        <w:rPr>
          <w:noProof/>
          <w:cs w:val="0"/>
          <w:lang w:val="ar-SA"/>
        </w:rPr>
        <w:drawing>
          <wp:inline distT="0" distB="0" distL="0" distR="0" wp14:anchorId="3679F71B" wp14:editId="5D8950FE">
            <wp:extent cx="6264910" cy="41662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4910" cy="4166235"/>
                    </a:xfrm>
                    <a:prstGeom prst="rect">
                      <a:avLst/>
                    </a:prstGeom>
                  </pic:spPr>
                </pic:pic>
              </a:graphicData>
            </a:graphic>
          </wp:inline>
        </w:drawing>
      </w:r>
    </w:p>
    <w:p w14:paraId="76606269" w14:textId="244B25AE" w:rsidR="00D15F47" w:rsidRPr="00C81FDB" w:rsidRDefault="00D15F47" w:rsidP="00D15F47">
      <w:pPr>
        <w:pStyle w:val="BodyArabic"/>
        <w:spacing w:after="110" w:line="360" w:lineRule="auto"/>
        <w:jc w:val="both"/>
        <w:rPr>
          <w:rFonts w:asciiTheme="majorBidi" w:hAnsiTheme="majorBidi" w:cstheme="majorBidi"/>
          <w:rtl w:val="0"/>
          <w:cs w:val="0"/>
        </w:rPr>
      </w:pPr>
    </w:p>
    <w:bookmarkStart w:id="4" w:name="_Toc238548573" w:displacedByCustomXml="next"/>
    <w:sdt>
      <w:sdtPr>
        <w:id w:val="52822085"/>
        <w:docPartObj>
          <w:docPartGallery w:val="Table of Contents"/>
          <w:docPartUnique/>
        </w:docPartObj>
      </w:sdtPr>
      <w:sdtEndPr>
        <w:rPr>
          <w:rFonts w:ascii="Noto Naskh Arabic" w:eastAsiaTheme="minorEastAsia" w:hAnsi="Noto Naskh Arabic" w:cstheme="minorBidi"/>
          <w:noProof/>
          <w:color w:val="auto"/>
          <w:sz w:val="23"/>
          <w:szCs w:val="22"/>
        </w:rPr>
      </w:sdtEndPr>
      <w:sdtContent>
        <w:p w14:paraId="098F52CB" w14:textId="7F20C386" w:rsidR="00C81FDB" w:rsidRPr="001A3C6A" w:rsidRDefault="00C81FDB" w:rsidP="001A3C6A">
          <w:pPr>
            <w:pStyle w:val="Heading1"/>
            <w:spacing w:before="200" w:after="80"/>
            <w:rPr>
              <w:color w:val="142536"/>
            </w:rPr>
          </w:pPr>
          <w:r w:rsidRPr="00474D65">
            <w:rPr>
              <w:rFonts w:asciiTheme="majorBidi" w:eastAsia="Noto Kufi Arabic" w:hAnsiTheme="majorBidi"/>
            </w:rPr>
            <w:t>فهرس المحتويات</w:t>
          </w:r>
          <w:bookmarkEnd w:id="4"/>
        </w:p>
        <w:p w14:paraId="0ACEF904" w14:textId="4D264000" w:rsidR="00E35640" w:rsidRDefault="00C81FDB">
          <w:pPr>
            <w:pStyle w:val="TOC1"/>
            <w:tabs>
              <w:tab w:val="right" w:leader="dot" w:pos="9856"/>
            </w:tabs>
            <w:bidi/>
            <w:rPr>
              <w:rFonts w:cstheme="minorBidi"/>
              <w:noProof/>
              <w:rtl/>
            </w:rPr>
          </w:pPr>
          <w:r>
            <w:fldChar w:fldCharType="begin"/>
          </w:r>
          <w:r>
            <w:instrText xml:space="preserve"> TOC \o "1-3" \h \z \u </w:instrText>
          </w:r>
          <w:r>
            <w:fldChar w:fldCharType="separate"/>
          </w:r>
          <w:hyperlink w:anchor="_Toc238548571" w:history="1">
            <w:r w:rsidR="00E35640" w:rsidRPr="00A62316">
              <w:rPr>
                <w:rStyle w:val="Hyperlink"/>
                <w:rFonts w:asciiTheme="majorBidi" w:eastAsia="Noto Kufi Arabic" w:hAnsiTheme="majorBidi"/>
                <w:noProof/>
                <w:rtl/>
              </w:rPr>
              <w:t>الملخص</w:t>
            </w:r>
            <w:r w:rsidR="00E35640">
              <w:rPr>
                <w:noProof/>
                <w:webHidden/>
                <w:rtl/>
              </w:rPr>
              <w:tab/>
            </w:r>
            <w:r w:rsidR="00E35640">
              <w:rPr>
                <w:noProof/>
                <w:webHidden/>
                <w:rtl/>
              </w:rPr>
              <w:fldChar w:fldCharType="begin"/>
            </w:r>
            <w:r w:rsidR="00E35640">
              <w:rPr>
                <w:noProof/>
                <w:webHidden/>
                <w:rtl/>
              </w:rPr>
              <w:instrText xml:space="preserve"> </w:instrText>
            </w:r>
            <w:r w:rsidR="00E35640">
              <w:rPr>
                <w:noProof/>
                <w:webHidden/>
              </w:rPr>
              <w:instrText>PAGEREF</w:instrText>
            </w:r>
            <w:r w:rsidR="00E35640">
              <w:rPr>
                <w:noProof/>
                <w:webHidden/>
                <w:rtl/>
              </w:rPr>
              <w:instrText xml:space="preserve"> _</w:instrText>
            </w:r>
            <w:r w:rsidR="00E35640">
              <w:rPr>
                <w:noProof/>
                <w:webHidden/>
              </w:rPr>
              <w:instrText>Toc238548571 \h</w:instrText>
            </w:r>
            <w:r w:rsidR="00E35640">
              <w:rPr>
                <w:noProof/>
                <w:webHidden/>
                <w:rtl/>
              </w:rPr>
              <w:instrText xml:space="preserve"> </w:instrText>
            </w:r>
            <w:r w:rsidR="00E35640">
              <w:rPr>
                <w:noProof/>
                <w:webHidden/>
                <w:rtl/>
              </w:rPr>
            </w:r>
            <w:r w:rsidR="00E35640">
              <w:rPr>
                <w:noProof/>
                <w:webHidden/>
                <w:rtl/>
              </w:rPr>
              <w:fldChar w:fldCharType="separate"/>
            </w:r>
            <w:r w:rsidR="00E35640">
              <w:rPr>
                <w:noProof/>
                <w:webHidden/>
                <w:rtl/>
              </w:rPr>
              <w:t>2</w:t>
            </w:r>
            <w:r w:rsidR="00E35640">
              <w:rPr>
                <w:noProof/>
                <w:webHidden/>
                <w:rtl/>
              </w:rPr>
              <w:fldChar w:fldCharType="end"/>
            </w:r>
          </w:hyperlink>
        </w:p>
        <w:p w14:paraId="4133BAE3" w14:textId="4431D3B1" w:rsidR="00E35640" w:rsidRDefault="00E35640">
          <w:pPr>
            <w:pStyle w:val="TOC1"/>
            <w:tabs>
              <w:tab w:val="right" w:leader="dot" w:pos="9856"/>
            </w:tabs>
            <w:bidi/>
            <w:rPr>
              <w:rFonts w:cstheme="minorBidi"/>
              <w:noProof/>
              <w:rtl/>
            </w:rPr>
          </w:pPr>
          <w:hyperlink w:anchor="_Toc238548572" w:history="1">
            <w:r w:rsidRPr="00A62316">
              <w:rPr>
                <w:rStyle w:val="Hyperlink"/>
                <w:rFonts w:asciiTheme="majorBidi" w:eastAsia="Noto Kufi Arabic" w:hAnsiTheme="majorBidi"/>
                <w:noProof/>
                <w:rtl/>
              </w:rPr>
              <w:t>رسومات توضيحة للفكرة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Toc238548572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8956549" w14:textId="7AC10BC7" w:rsidR="00E35640" w:rsidRDefault="00E35640">
          <w:pPr>
            <w:pStyle w:val="TOC1"/>
            <w:tabs>
              <w:tab w:val="right" w:leader="dot" w:pos="9856"/>
            </w:tabs>
            <w:bidi/>
            <w:rPr>
              <w:rFonts w:cstheme="minorBidi"/>
              <w:noProof/>
              <w:rtl/>
            </w:rPr>
          </w:pPr>
          <w:hyperlink w:anchor="_Toc238548573" w:history="1">
            <w:r w:rsidRPr="00A62316">
              <w:rPr>
                <w:rStyle w:val="Hyperlink"/>
                <w:rFonts w:asciiTheme="majorBidi" w:eastAsia="Noto Kufi Arabic" w:hAnsiTheme="majorBidi"/>
                <w:noProof/>
                <w:rtl/>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65BA506" w14:textId="11E70961" w:rsidR="00E35640" w:rsidRDefault="00E35640">
          <w:pPr>
            <w:pStyle w:val="TOC1"/>
            <w:tabs>
              <w:tab w:val="right" w:leader="dot" w:pos="9856"/>
            </w:tabs>
            <w:bidi/>
            <w:rPr>
              <w:rFonts w:cstheme="minorBidi"/>
              <w:noProof/>
              <w:rtl/>
            </w:rPr>
          </w:pPr>
          <w:hyperlink w:anchor="_Toc238548574" w:history="1">
            <w:r w:rsidRPr="00A62316">
              <w:rPr>
                <w:rStyle w:val="Hyperlink"/>
                <w:rFonts w:asciiTheme="majorBidi" w:eastAsia="Noto Kufi Arabic" w:hAnsiTheme="majorBidi"/>
                <w:noProof/>
                <w:rtl/>
              </w:rPr>
              <w:t>١</w:t>
            </w:r>
            <w:r w:rsidRPr="00A62316">
              <w:rPr>
                <w:rStyle w:val="Hyperlink"/>
                <w:rFonts w:asciiTheme="majorBidi" w:eastAsia="Noto Kufi Arabic" w:hAnsiTheme="majorBidi"/>
                <w:noProof/>
              </w:rPr>
              <w:t xml:space="preserve"> </w:t>
            </w:r>
            <w:r w:rsidRPr="00A62316">
              <w:rPr>
                <w:rStyle w:val="Hyperlink"/>
                <w:rFonts w:asciiTheme="majorBidi" w:eastAsia="Noto Kufi Arabic" w:hAnsiTheme="majorBidi"/>
                <w:noProof/>
                <w:rtl/>
              </w:rPr>
              <w:t>المقدمة والسياق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4D68243" w14:textId="2C6D0AB3" w:rsidR="00E35640" w:rsidRDefault="00E35640">
          <w:pPr>
            <w:pStyle w:val="TOC2"/>
            <w:tabs>
              <w:tab w:val="right" w:leader="dot" w:pos="9856"/>
            </w:tabs>
            <w:bidi/>
            <w:rPr>
              <w:rFonts w:cstheme="minorBidi"/>
              <w:noProof/>
              <w:rtl/>
            </w:rPr>
          </w:pPr>
          <w:hyperlink w:anchor="_Toc238548575" w:history="1">
            <w:r w:rsidRPr="00A62316">
              <w:rPr>
                <w:rStyle w:val="Hyperlink"/>
                <w:rFonts w:asciiTheme="majorBidi" w:eastAsia="Noto Kufi Arabic" w:hAnsiTheme="majorBidi"/>
                <w:noProof/>
                <w:rtl/>
              </w:rPr>
              <w:t>١.١ خلفية التحدي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4502F30" w14:textId="465C697F" w:rsidR="00E35640" w:rsidRDefault="00E35640">
          <w:pPr>
            <w:pStyle w:val="TOC2"/>
            <w:tabs>
              <w:tab w:val="right" w:leader="dot" w:pos="9856"/>
            </w:tabs>
            <w:bidi/>
            <w:rPr>
              <w:rFonts w:cstheme="minorBidi"/>
              <w:noProof/>
              <w:rtl/>
            </w:rPr>
          </w:pPr>
          <w:hyperlink w:anchor="_Toc238548576" w:history="1">
            <w:r w:rsidRPr="00A62316">
              <w:rPr>
                <w:rStyle w:val="Hyperlink"/>
                <w:rFonts w:asciiTheme="majorBidi" w:eastAsia="Noto Kufi Arabic" w:hAnsiTheme="majorBidi"/>
                <w:noProof/>
                <w:rtl/>
              </w:rPr>
              <w:t>١.٢ بيان المشكلة والدليل على الحاجة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32F1F06" w14:textId="096079F3" w:rsidR="00E35640" w:rsidRDefault="00E35640">
          <w:pPr>
            <w:pStyle w:val="TOC2"/>
            <w:tabs>
              <w:tab w:val="right" w:leader="dot" w:pos="9856"/>
            </w:tabs>
            <w:bidi/>
            <w:rPr>
              <w:rFonts w:cstheme="minorBidi"/>
              <w:noProof/>
              <w:rtl/>
            </w:rPr>
          </w:pPr>
          <w:hyperlink w:anchor="_Toc238548577" w:history="1">
            <w:r w:rsidRPr="00A62316">
              <w:rPr>
                <w:rStyle w:val="Hyperlink"/>
                <w:rFonts w:asciiTheme="majorBidi" w:eastAsia="Noto Kufi Arabic" w:hAnsiTheme="majorBidi"/>
                <w:noProof/>
                <w:rtl/>
              </w:rPr>
              <w:t>١.٣ أهمية الابتكار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1C61A2C" w14:textId="0D60B274" w:rsidR="00E35640" w:rsidRDefault="00E35640">
          <w:pPr>
            <w:pStyle w:val="TOC1"/>
            <w:tabs>
              <w:tab w:val="right" w:leader="dot" w:pos="9856"/>
            </w:tabs>
            <w:bidi/>
            <w:rPr>
              <w:rFonts w:cstheme="minorBidi"/>
              <w:noProof/>
              <w:rtl/>
            </w:rPr>
          </w:pPr>
          <w:hyperlink w:anchor="_Toc238548578" w:history="1">
            <w:r w:rsidRPr="00A62316">
              <w:rPr>
                <w:rStyle w:val="Hyperlink"/>
                <w:rFonts w:asciiTheme="majorBidi" w:eastAsia="Noto Kufi Arabic" w:hAnsiTheme="majorBidi"/>
                <w:noProof/>
                <w:rtl/>
              </w:rPr>
              <w:t>٢. وصف الابتكار وآلية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7E6E087" w14:textId="0A5340BD" w:rsidR="00E35640" w:rsidRDefault="00E35640">
          <w:pPr>
            <w:pStyle w:val="TOC2"/>
            <w:tabs>
              <w:tab w:val="right" w:leader="dot" w:pos="9856"/>
            </w:tabs>
            <w:bidi/>
            <w:rPr>
              <w:rFonts w:cstheme="minorBidi"/>
              <w:noProof/>
              <w:rtl/>
            </w:rPr>
          </w:pPr>
          <w:hyperlink w:anchor="_Toc238548579" w:history="1">
            <w:r w:rsidRPr="00A62316">
              <w:rPr>
                <w:rStyle w:val="Hyperlink"/>
                <w:rFonts w:asciiTheme="majorBidi" w:eastAsia="Noto Kufi Arabic" w:hAnsiTheme="majorBidi"/>
                <w:noProof/>
                <w:rtl/>
              </w:rPr>
              <w:t>٢.١ جوهر 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Toc238548579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2F406D04" w14:textId="35CE68F5" w:rsidR="00E35640" w:rsidRDefault="00E35640">
          <w:pPr>
            <w:pStyle w:val="TOC2"/>
            <w:tabs>
              <w:tab w:val="right" w:leader="dot" w:pos="9856"/>
            </w:tabs>
            <w:bidi/>
            <w:rPr>
              <w:rFonts w:cstheme="minorBidi"/>
              <w:noProof/>
              <w:rtl/>
            </w:rPr>
          </w:pPr>
          <w:hyperlink w:anchor="_Toc238548580" w:history="1">
            <w:r w:rsidRPr="00A62316">
              <w:rPr>
                <w:rStyle w:val="Hyperlink"/>
                <w:rFonts w:asciiTheme="majorBidi" w:eastAsia="Noto Kufi Arabic" w:hAnsiTheme="majorBidi"/>
                <w:noProof/>
                <w:rtl/>
              </w:rPr>
              <w:t>٢.٢ الركيزتان الرئيسيتان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5A3015A" w14:textId="3098138E" w:rsidR="00E35640" w:rsidRDefault="00E35640">
          <w:pPr>
            <w:pStyle w:val="TOC2"/>
            <w:tabs>
              <w:tab w:val="right" w:leader="dot" w:pos="9856"/>
            </w:tabs>
            <w:bidi/>
            <w:rPr>
              <w:rFonts w:cstheme="minorBidi"/>
              <w:noProof/>
              <w:rtl/>
            </w:rPr>
          </w:pPr>
          <w:hyperlink w:anchor="_Toc238548581" w:history="1">
            <w:r w:rsidRPr="00A62316">
              <w:rPr>
                <w:rStyle w:val="Hyperlink"/>
                <w:rFonts w:asciiTheme="majorBidi" w:eastAsia="Noto Kufi Arabic" w:hAnsiTheme="majorBidi"/>
                <w:noProof/>
                <w:rtl/>
              </w:rPr>
              <w:t>٢.٣ كيف يعمل النظام بصورة مبسطة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977BDCC" w14:textId="2AAD3A63" w:rsidR="00E35640" w:rsidRDefault="00E35640">
          <w:pPr>
            <w:pStyle w:val="TOC2"/>
            <w:tabs>
              <w:tab w:val="right" w:leader="dot" w:pos="9856"/>
            </w:tabs>
            <w:bidi/>
            <w:rPr>
              <w:rFonts w:cstheme="minorBidi"/>
              <w:noProof/>
              <w:rtl/>
            </w:rPr>
          </w:pPr>
          <w:hyperlink w:anchor="_Toc238548582" w:history="1">
            <w:r w:rsidRPr="00A62316">
              <w:rPr>
                <w:rStyle w:val="Hyperlink"/>
                <w:rFonts w:asciiTheme="majorBidi" w:eastAsia="Noto Kufi Arabic" w:hAnsiTheme="majorBidi"/>
                <w:noProof/>
                <w:rtl/>
              </w:rPr>
              <w:t>٢.٤ مؤشرات سلوكية مرشحة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1B92EBA" w14:textId="0E05FE8A" w:rsidR="00E35640" w:rsidRDefault="00E35640">
          <w:pPr>
            <w:pStyle w:val="TOC2"/>
            <w:tabs>
              <w:tab w:val="right" w:leader="dot" w:pos="9856"/>
            </w:tabs>
            <w:bidi/>
            <w:rPr>
              <w:rFonts w:cstheme="minorBidi"/>
              <w:noProof/>
              <w:rtl/>
            </w:rPr>
          </w:pPr>
          <w:hyperlink w:anchor="_Toc238548583" w:history="1">
            <w:r w:rsidRPr="00A62316">
              <w:rPr>
                <w:rStyle w:val="Hyperlink"/>
                <w:rFonts w:asciiTheme="majorBidi" w:eastAsia="Noto Kufi Arabic" w:hAnsiTheme="majorBidi"/>
                <w:noProof/>
                <w:rtl/>
              </w:rPr>
              <w:t>٢.٥ المستفيدون وأصحاب المصلحة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8425376" w14:textId="1CA74ED6" w:rsidR="00E35640" w:rsidRDefault="00E35640">
          <w:pPr>
            <w:pStyle w:val="TOC1"/>
            <w:tabs>
              <w:tab w:val="right" w:leader="dot" w:pos="9856"/>
            </w:tabs>
            <w:bidi/>
            <w:rPr>
              <w:rFonts w:cstheme="minorBidi"/>
              <w:noProof/>
              <w:rtl/>
            </w:rPr>
          </w:pPr>
          <w:hyperlink w:anchor="_Toc238548584" w:history="1">
            <w:r w:rsidRPr="00A62316">
              <w:rPr>
                <w:rStyle w:val="Hyperlink"/>
                <w:rFonts w:asciiTheme="majorBidi" w:eastAsia="Noto Kufi Arabic" w:hAnsiTheme="majorBidi"/>
                <w:noProof/>
                <w:rtl/>
              </w:rPr>
              <w:t>٣. الحلول القائمة والفجوة الابتكارية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388B10F" w14:textId="7AEF388A" w:rsidR="00E35640" w:rsidRDefault="00E35640">
          <w:pPr>
            <w:pStyle w:val="TOC2"/>
            <w:tabs>
              <w:tab w:val="right" w:leader="dot" w:pos="9856"/>
            </w:tabs>
            <w:bidi/>
            <w:rPr>
              <w:rFonts w:cstheme="minorBidi"/>
              <w:noProof/>
              <w:rtl/>
            </w:rPr>
          </w:pPr>
          <w:hyperlink w:anchor="_Toc238548585" w:history="1">
            <w:r w:rsidRPr="00A62316">
              <w:rPr>
                <w:rStyle w:val="Hyperlink"/>
                <w:rFonts w:asciiTheme="majorBidi" w:eastAsia="Noto Kufi Arabic" w:hAnsiTheme="majorBidi"/>
                <w:noProof/>
                <w:rtl/>
              </w:rPr>
              <w:t>٣.١ ما الموجود حاليًا؟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DFD4218" w14:textId="48C406B9" w:rsidR="00E35640" w:rsidRDefault="00E35640">
          <w:pPr>
            <w:pStyle w:val="TOC2"/>
            <w:tabs>
              <w:tab w:val="right" w:leader="dot" w:pos="9856"/>
            </w:tabs>
            <w:bidi/>
            <w:rPr>
              <w:rFonts w:cstheme="minorBidi"/>
              <w:noProof/>
              <w:rtl/>
            </w:rPr>
          </w:pPr>
          <w:hyperlink w:anchor="_Toc238548586" w:history="1">
            <w:r w:rsidRPr="00A62316">
              <w:rPr>
                <w:rStyle w:val="Hyperlink"/>
                <w:rFonts w:asciiTheme="majorBidi" w:eastAsia="Noto Kufi Arabic" w:hAnsiTheme="majorBidi"/>
                <w:noProof/>
                <w:rtl/>
              </w:rPr>
              <w:t>٣.٢ أين يتميز 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7DD9504" w14:textId="14822BBF" w:rsidR="00E35640" w:rsidRDefault="00E35640">
          <w:pPr>
            <w:pStyle w:val="TOC1"/>
            <w:tabs>
              <w:tab w:val="right" w:leader="dot" w:pos="9856"/>
            </w:tabs>
            <w:bidi/>
            <w:rPr>
              <w:rFonts w:cstheme="minorBidi"/>
              <w:noProof/>
              <w:rtl/>
            </w:rPr>
          </w:pPr>
          <w:hyperlink w:anchor="_Toc238548587" w:history="1">
            <w:r w:rsidRPr="00A62316">
              <w:rPr>
                <w:rStyle w:val="Hyperlink"/>
                <w:rFonts w:asciiTheme="majorBidi" w:eastAsia="Noto Kufi Arabic" w:hAnsiTheme="majorBidi"/>
                <w:noProof/>
                <w:rtl/>
              </w:rPr>
              <w:t>٤. النطاق والافتراضات والقيود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AAAB5DD" w14:textId="74B46E10" w:rsidR="00E35640" w:rsidRDefault="00E35640">
          <w:pPr>
            <w:pStyle w:val="TOC2"/>
            <w:tabs>
              <w:tab w:val="right" w:leader="dot" w:pos="9856"/>
            </w:tabs>
            <w:bidi/>
            <w:rPr>
              <w:rFonts w:cstheme="minorBidi"/>
              <w:noProof/>
              <w:rtl/>
            </w:rPr>
          </w:pPr>
          <w:hyperlink w:anchor="_Toc238548588" w:history="1">
            <w:r w:rsidRPr="00A62316">
              <w:rPr>
                <w:rStyle w:val="Hyperlink"/>
                <w:rFonts w:asciiTheme="majorBidi" w:eastAsia="Noto Kufi Arabic" w:hAnsiTheme="majorBidi"/>
                <w:noProof/>
                <w:rtl/>
              </w:rPr>
              <w:t>٤.١ نطاق الابتكار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20F990E" w14:textId="5DCD2C8F" w:rsidR="00E35640" w:rsidRDefault="00E35640">
          <w:pPr>
            <w:pStyle w:val="TOC2"/>
            <w:tabs>
              <w:tab w:val="right" w:leader="dot" w:pos="9856"/>
            </w:tabs>
            <w:bidi/>
            <w:rPr>
              <w:rFonts w:cstheme="minorBidi"/>
              <w:noProof/>
              <w:rtl/>
            </w:rPr>
          </w:pPr>
          <w:hyperlink w:anchor="_Toc238548589" w:history="1">
            <w:r w:rsidRPr="00A62316">
              <w:rPr>
                <w:rStyle w:val="Hyperlink"/>
                <w:rFonts w:asciiTheme="majorBidi" w:eastAsia="Noto Kufi Arabic" w:hAnsiTheme="majorBidi"/>
                <w:noProof/>
                <w:rtl/>
              </w:rPr>
              <w:t>٤.٢ الافتراضات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Toc238548589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B6F89A6" w14:textId="5DF84598" w:rsidR="00E35640" w:rsidRDefault="00E35640">
          <w:pPr>
            <w:pStyle w:val="TOC2"/>
            <w:tabs>
              <w:tab w:val="right" w:leader="dot" w:pos="9856"/>
            </w:tabs>
            <w:bidi/>
            <w:rPr>
              <w:rFonts w:cstheme="minorBidi"/>
              <w:noProof/>
              <w:rtl/>
            </w:rPr>
          </w:pPr>
          <w:hyperlink w:anchor="_Toc238548590" w:history="1">
            <w:r w:rsidRPr="00A62316">
              <w:rPr>
                <w:rStyle w:val="Hyperlink"/>
                <w:rFonts w:asciiTheme="majorBidi" w:eastAsia="Noto Kufi Arabic" w:hAnsiTheme="majorBidi"/>
                <w:noProof/>
                <w:rtl/>
              </w:rPr>
              <w:t>٤.٣ 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1007DCC" w14:textId="03624108" w:rsidR="00E35640" w:rsidRDefault="00E35640">
          <w:pPr>
            <w:pStyle w:val="TOC1"/>
            <w:tabs>
              <w:tab w:val="right" w:leader="dot" w:pos="9856"/>
            </w:tabs>
            <w:bidi/>
            <w:rPr>
              <w:rFonts w:cstheme="minorBidi"/>
              <w:noProof/>
              <w:rtl/>
            </w:rPr>
          </w:pPr>
          <w:hyperlink w:anchor="_Toc238548591" w:history="1">
            <w:r w:rsidRPr="00A62316">
              <w:rPr>
                <w:rStyle w:val="Hyperlink"/>
                <w:rFonts w:asciiTheme="majorBidi" w:eastAsia="Noto Kufi Arabic" w:hAnsiTheme="majorBidi"/>
                <w:noProof/>
                <w:rtl/>
              </w:rPr>
              <w:t>٥. دراسة الابتكار ونواحي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AE6C271" w14:textId="422B5959" w:rsidR="00E35640" w:rsidRDefault="00E35640">
          <w:pPr>
            <w:pStyle w:val="TOC2"/>
            <w:tabs>
              <w:tab w:val="right" w:leader="dot" w:pos="9856"/>
            </w:tabs>
            <w:bidi/>
            <w:rPr>
              <w:rFonts w:cstheme="minorBidi"/>
              <w:noProof/>
              <w:rtl/>
            </w:rPr>
          </w:pPr>
          <w:hyperlink w:anchor="_Toc238548592" w:history="1">
            <w:r w:rsidRPr="00A62316">
              <w:rPr>
                <w:rStyle w:val="Hyperlink"/>
                <w:rFonts w:asciiTheme="majorBidi" w:eastAsia="Noto Kufi Arabic" w:hAnsiTheme="majorBidi"/>
                <w:noProof/>
                <w:rtl/>
              </w:rPr>
              <w:t>٥.١ الناحية التقنية ( قابلية التنفيذ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1BE3FE5" w14:textId="140318DA" w:rsidR="00E35640" w:rsidRDefault="00E35640">
          <w:pPr>
            <w:pStyle w:val="TOC3"/>
            <w:tabs>
              <w:tab w:val="right" w:leader="dot" w:pos="9856"/>
            </w:tabs>
            <w:bidi/>
            <w:rPr>
              <w:rFonts w:cstheme="minorBidi"/>
              <w:noProof/>
              <w:rtl/>
            </w:rPr>
          </w:pPr>
          <w:hyperlink w:anchor="_Toc238548593" w:history="1">
            <w:r w:rsidRPr="00A62316">
              <w:rPr>
                <w:rStyle w:val="Hyperlink"/>
                <w:rFonts w:asciiTheme="majorBidi" w:eastAsia="Noto Kufi Arabic" w:hAnsiTheme="majorBidi"/>
                <w:noProof/>
                <w:rtl/>
              </w:rPr>
              <w:t>٥.٢الناحية</w:t>
            </w:r>
            <w:r w:rsidRPr="00A62316">
              <w:rPr>
                <w:rStyle w:val="Hyperlink"/>
                <w:rFonts w:asciiTheme="majorBidi" w:eastAsia="Noto Kufi Arabic" w:hAnsiTheme="majorBidi"/>
                <w:noProof/>
              </w:rPr>
              <w:t xml:space="preserve"> </w:t>
            </w:r>
            <w:r w:rsidRPr="00A62316">
              <w:rPr>
                <w:rStyle w:val="Hyperlink"/>
                <w:rFonts w:asciiTheme="majorBidi" w:eastAsia="Noto Kufi Arabic" w:hAnsiTheme="majorBidi"/>
                <w:noProof/>
                <w:rtl/>
              </w:rPr>
              <w:t xml:space="preserve"> الفنية  ( خطة التنفيذ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AA5FBAC" w14:textId="53005B1C" w:rsidR="00E35640" w:rsidRDefault="00E35640">
          <w:pPr>
            <w:pStyle w:val="TOC3"/>
            <w:tabs>
              <w:tab w:val="right" w:leader="dot" w:pos="9856"/>
            </w:tabs>
            <w:bidi/>
            <w:rPr>
              <w:rFonts w:cstheme="minorBidi"/>
              <w:noProof/>
              <w:rtl/>
            </w:rPr>
          </w:pPr>
          <w:hyperlink w:anchor="_Toc238548594" w:history="1">
            <w:r w:rsidRPr="00A62316">
              <w:rPr>
                <w:rStyle w:val="Hyperlink"/>
                <w:b/>
                <w:bCs/>
                <w:noProof/>
                <w:color w:val="0000BF" w:themeColor="hyperlink" w:themeShade="BF"/>
                <w:rtl/>
              </w:rPr>
              <w:t>البنية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CB4DA43" w14:textId="2F2AB688" w:rsidR="00E35640" w:rsidRDefault="00E35640">
          <w:pPr>
            <w:pStyle w:val="TOC3"/>
            <w:tabs>
              <w:tab w:val="right" w:leader="dot" w:pos="9856"/>
            </w:tabs>
            <w:bidi/>
            <w:rPr>
              <w:rFonts w:cstheme="minorBidi"/>
              <w:noProof/>
              <w:rtl/>
            </w:rPr>
          </w:pPr>
          <w:hyperlink w:anchor="_Toc238548595" w:history="1">
            <w:r w:rsidRPr="00A62316">
              <w:rPr>
                <w:rStyle w:val="Hyperlink"/>
                <w:rFonts w:asciiTheme="majorBidi" w:eastAsia="Noto Kufi Arabic" w:hAnsiTheme="majorBidi"/>
                <w:b/>
                <w:bCs/>
                <w:noProof/>
                <w:color w:val="0000BF" w:themeColor="hyperlink" w:themeShade="BF"/>
                <w:rtl/>
              </w:rPr>
              <w:t>الأدوات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12621F2" w14:textId="1E34A38E" w:rsidR="00E35640" w:rsidRDefault="00E35640">
          <w:pPr>
            <w:pStyle w:val="TOC3"/>
            <w:tabs>
              <w:tab w:val="right" w:leader="dot" w:pos="9856"/>
            </w:tabs>
            <w:bidi/>
            <w:rPr>
              <w:rFonts w:cstheme="minorBidi"/>
              <w:noProof/>
              <w:rtl/>
            </w:rPr>
          </w:pPr>
          <w:hyperlink w:anchor="_Toc238548596" w:history="1">
            <w:r w:rsidRPr="00A62316">
              <w:rPr>
                <w:rStyle w:val="Hyperlink"/>
                <w:rFonts w:asciiTheme="majorBidi" w:eastAsia="Noto Kufi Arabic" w:hAnsiTheme="majorBidi"/>
                <w:b/>
                <w:bCs/>
                <w:noProof/>
                <w:color w:val="0000BF" w:themeColor="hyperlink" w:themeShade="BF"/>
                <w:rtl/>
              </w:rPr>
              <w:t>خطوات التنفيذ الفعلي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EF10014" w14:textId="33B21BCB" w:rsidR="00E35640" w:rsidRDefault="00E35640">
          <w:pPr>
            <w:pStyle w:val="TOC2"/>
            <w:tabs>
              <w:tab w:val="right" w:leader="dot" w:pos="9856"/>
            </w:tabs>
            <w:bidi/>
            <w:rPr>
              <w:rFonts w:cstheme="minorBidi"/>
              <w:noProof/>
              <w:rtl/>
            </w:rPr>
          </w:pPr>
          <w:hyperlink w:anchor="_Toc238548597" w:history="1">
            <w:r w:rsidRPr="00A62316">
              <w:rPr>
                <w:rStyle w:val="Hyperlink"/>
                <w:rFonts w:asciiTheme="majorBidi" w:eastAsia="Noto Kufi Arabic" w:hAnsiTheme="majorBidi"/>
                <w:noProof/>
                <w:rtl/>
              </w:rPr>
              <w:t>٥.٣ المخرجات المتوقعة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E9CDDD4" w14:textId="5EB039D7" w:rsidR="00E35640" w:rsidRDefault="00E35640">
          <w:pPr>
            <w:pStyle w:val="TOC2"/>
            <w:tabs>
              <w:tab w:val="right" w:leader="dot" w:pos="9856"/>
            </w:tabs>
            <w:bidi/>
            <w:rPr>
              <w:rFonts w:cstheme="minorBidi"/>
              <w:noProof/>
              <w:rtl/>
            </w:rPr>
          </w:pPr>
          <w:hyperlink w:anchor="_Toc238548598" w:history="1">
            <w:r w:rsidRPr="00A62316">
              <w:rPr>
                <w:rStyle w:val="Hyperlink"/>
                <w:rFonts w:ascii="Noto Naskh Arabic" w:hAnsi="Noto Naskh Arabic"/>
                <w:noProof/>
                <w:rtl/>
              </w:rPr>
              <w:t>٤</w:t>
            </w:r>
            <w:r w:rsidRPr="00A62316">
              <w:rPr>
                <w:rStyle w:val="Hyperlink"/>
                <w:rFonts w:asciiTheme="majorBidi" w:eastAsia="Noto Kufi Arabic" w:hAnsiTheme="majorBidi"/>
                <w:noProof/>
                <w:rtl/>
              </w:rPr>
              <w:t xml:space="preserve"> ٥</w:t>
            </w:r>
            <w:r w:rsidRPr="00A62316">
              <w:rPr>
                <w:rStyle w:val="Hyperlink"/>
                <w:rFonts w:asciiTheme="majorBidi" w:eastAsia="Noto Kufi Arabic" w:hAnsiTheme="majorBidi"/>
                <w:noProof/>
              </w:rPr>
              <w:t>.</w:t>
            </w:r>
            <w:r w:rsidRPr="00A62316">
              <w:rPr>
                <w:rStyle w:val="Hyperlink"/>
                <w:rFonts w:asciiTheme="majorBidi" w:eastAsia="Noto Kufi Arabic" w:hAnsiTheme="majorBidi"/>
                <w:noProof/>
                <w:rtl/>
              </w:rPr>
              <w:t xml:space="preserve"> التطبيقات العملية والقيمة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2F6CA56" w14:textId="7C5729B4" w:rsidR="00E35640" w:rsidRDefault="00E35640">
          <w:pPr>
            <w:pStyle w:val="TOC2"/>
            <w:tabs>
              <w:tab w:val="right" w:leader="dot" w:pos="9856"/>
            </w:tabs>
            <w:bidi/>
            <w:rPr>
              <w:rFonts w:cstheme="minorBidi"/>
              <w:noProof/>
              <w:rtl/>
            </w:rPr>
          </w:pPr>
          <w:hyperlink w:anchor="_Toc238548599" w:history="1">
            <w:r w:rsidRPr="00A62316">
              <w:rPr>
                <w:rStyle w:val="Hyperlink"/>
                <w:rFonts w:asciiTheme="majorBidi" w:eastAsia="Noto Kufi Arabic" w:hAnsiTheme="majorBidi"/>
                <w:noProof/>
                <w:rtl/>
              </w:rPr>
              <w:t xml:space="preserve">٥.٥ </w:t>
            </w:r>
            <w:r w:rsidRPr="00A62316">
              <w:rPr>
                <w:rStyle w:val="Hyperlink"/>
                <w:noProof/>
                <w:rtl/>
              </w:rPr>
              <w:t>الناحية المالية والقيمة الاقتصادية المتوقعة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Toc238548599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0BD012F" w14:textId="1E4887FD" w:rsidR="00E35640" w:rsidRDefault="00E35640">
          <w:pPr>
            <w:pStyle w:val="TOC1"/>
            <w:tabs>
              <w:tab w:val="right" w:leader="dot" w:pos="9856"/>
            </w:tabs>
            <w:bidi/>
            <w:rPr>
              <w:rFonts w:cstheme="minorBidi"/>
              <w:noProof/>
              <w:rtl/>
            </w:rPr>
          </w:pPr>
          <w:hyperlink w:anchor="_Toc238548600" w:history="1">
            <w:r w:rsidRPr="00A62316">
              <w:rPr>
                <w:rStyle w:val="Hyperlink"/>
                <w:rFonts w:asciiTheme="majorBidi" w:eastAsia="Noto Kufi Arabic" w:hAnsiTheme="majorBidi"/>
                <w:noProof/>
                <w:rtl/>
              </w:rPr>
              <w:t>٦. المخاطر والضوابط والجوانب النظامية والأخلاقية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Toc238548600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DE34DE7" w14:textId="7D6788F8" w:rsidR="00E35640" w:rsidRDefault="00E35640">
          <w:pPr>
            <w:pStyle w:val="TOC2"/>
            <w:tabs>
              <w:tab w:val="right" w:leader="dot" w:pos="9856"/>
            </w:tabs>
            <w:bidi/>
            <w:rPr>
              <w:rFonts w:cstheme="minorBidi"/>
              <w:noProof/>
              <w:rtl/>
            </w:rPr>
          </w:pPr>
          <w:hyperlink w:anchor="_Toc238548601" w:history="1">
            <w:r w:rsidRPr="00A62316">
              <w:rPr>
                <w:rStyle w:val="Hyperlink"/>
                <w:rFonts w:asciiTheme="majorBidi" w:eastAsia="Noto Kufi Arabic" w:hAnsiTheme="majorBidi"/>
                <w:noProof/>
                <w:rtl/>
              </w:rPr>
              <w:t>٦.١ المخاطر الرئيسية وضوابطها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Toc238548601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4306AFE" w14:textId="00BAAE5A" w:rsidR="00E35640" w:rsidRDefault="00E35640">
          <w:pPr>
            <w:pStyle w:val="TOC2"/>
            <w:tabs>
              <w:tab w:val="right" w:leader="dot" w:pos="9856"/>
            </w:tabs>
            <w:bidi/>
            <w:rPr>
              <w:rFonts w:cstheme="minorBidi"/>
              <w:noProof/>
              <w:rtl/>
            </w:rPr>
          </w:pPr>
          <w:hyperlink w:anchor="_Toc238548602" w:history="1">
            <w:r w:rsidRPr="00A62316">
              <w:rPr>
                <w:rStyle w:val="Hyperlink"/>
                <w:rFonts w:asciiTheme="majorBidi" w:eastAsia="Noto Kufi Arabic" w:hAnsiTheme="majorBidi"/>
                <w:noProof/>
                <w:rtl/>
              </w:rPr>
              <w:t>٦.٢ الخصوصية والأمن والامتثال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Toc238548602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0853E1B" w14:textId="6C74E359" w:rsidR="00E35640" w:rsidRDefault="00E35640">
          <w:pPr>
            <w:pStyle w:val="TOC2"/>
            <w:tabs>
              <w:tab w:val="right" w:leader="dot" w:pos="9856"/>
            </w:tabs>
            <w:bidi/>
            <w:rPr>
              <w:rFonts w:cstheme="minorBidi"/>
              <w:noProof/>
              <w:rtl/>
            </w:rPr>
          </w:pPr>
          <w:hyperlink w:anchor="_Toc238548603" w:history="1">
            <w:r w:rsidRPr="00A62316">
              <w:rPr>
                <w:rStyle w:val="Hyperlink"/>
                <w:rFonts w:asciiTheme="majorBidi" w:eastAsia="Noto Kufi Arabic" w:hAnsiTheme="majorBidi"/>
                <w:noProof/>
                <w:rtl/>
              </w:rPr>
              <w:t>٦.٣ الاعتبارات الأخلاقية والنظامية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Toc238548603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2AC759D" w14:textId="417CADED" w:rsidR="00E35640" w:rsidRDefault="00E35640">
          <w:pPr>
            <w:pStyle w:val="TOC1"/>
            <w:tabs>
              <w:tab w:val="right" w:leader="dot" w:pos="9856"/>
            </w:tabs>
            <w:bidi/>
            <w:rPr>
              <w:rFonts w:cstheme="minorBidi"/>
              <w:noProof/>
              <w:rtl/>
            </w:rPr>
          </w:pPr>
          <w:hyperlink w:anchor="_Toc238548604" w:history="1">
            <w:r w:rsidRPr="00A62316">
              <w:rPr>
                <w:rStyle w:val="Hyperlink"/>
                <w:rFonts w:asciiTheme="majorBidi" w:eastAsia="Noto Kufi Arabic" w:hAnsiTheme="majorBidi"/>
                <w:noProof/>
                <w:rtl/>
              </w:rPr>
              <w:t>٧. الخلاصة والتوصية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Toc238548604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D28DFC7" w14:textId="66D82611" w:rsidR="00E35640" w:rsidRDefault="00E35640">
          <w:pPr>
            <w:pStyle w:val="TOC1"/>
            <w:tabs>
              <w:tab w:val="right" w:leader="dot" w:pos="9856"/>
            </w:tabs>
            <w:bidi/>
            <w:rPr>
              <w:rFonts w:cstheme="minorBidi"/>
              <w:noProof/>
              <w:rtl/>
            </w:rPr>
          </w:pPr>
          <w:hyperlink w:anchor="_Toc238548605" w:history="1">
            <w:r w:rsidRPr="00A62316">
              <w:rPr>
                <w:rStyle w:val="Hyperlink"/>
                <w:rFonts w:asciiTheme="majorBidi" w:eastAsia="Noto Kufi Arabic" w:hAnsiTheme="majorBidi"/>
                <w:noProof/>
                <w:rtl/>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Toc238548605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AE5C11D" w14:textId="42D1EF1D" w:rsidR="00516B4B" w:rsidRPr="001A3C6A" w:rsidRDefault="00C81FDB" w:rsidP="001A3C6A">
          <w:pPr>
            <w:rPr>
              <w:cs w:val="0"/>
            </w:rPr>
          </w:pPr>
          <w:r>
            <w:rPr>
              <w:b/>
              <w:bCs/>
              <w:noProof/>
            </w:rPr>
            <w:fldChar w:fldCharType="end"/>
          </w:r>
        </w:p>
      </w:sdtContent>
    </w:sdt>
    <w:p w14:paraId="2C6E1D66" w14:textId="0C566134" w:rsidR="009A31E7" w:rsidRPr="009A31E7" w:rsidRDefault="001377C1" w:rsidP="001377C1">
      <w:pPr>
        <w:pStyle w:val="Heading1"/>
        <w:spacing w:before="200" w:after="80" w:line="240" w:lineRule="auto"/>
        <w:ind w:left="360"/>
        <w:rPr>
          <w:rFonts w:asciiTheme="majorBidi" w:eastAsia="Noto Kufi Arabic" w:hAnsiTheme="majorBidi" w:hint="eastAsia"/>
        </w:rPr>
      </w:pPr>
      <w:bookmarkStart w:id="5" w:name="bm_sec1"/>
      <w:r>
        <w:rPr>
          <w:rFonts w:asciiTheme="majorBidi" w:eastAsia="Noto Kufi Arabic" w:hAnsiTheme="majorBidi"/>
          <w:rtl w:val="0"/>
          <w:cs w:val="0"/>
        </w:rPr>
        <w:t xml:space="preserve"> </w:t>
      </w:r>
      <w:bookmarkStart w:id="6" w:name="_Toc238548574"/>
      <w:r w:rsidRPr="001377C1">
        <w:rPr>
          <w:rFonts w:asciiTheme="majorBidi" w:eastAsia="Noto Kufi Arabic" w:hAnsiTheme="majorBidi"/>
          <w:sz w:val="32"/>
          <w:szCs w:val="32"/>
        </w:rPr>
        <w:t>١</w:t>
      </w:r>
      <w:r w:rsidRPr="001377C1">
        <w:rPr>
          <w:rFonts w:asciiTheme="majorBidi" w:eastAsia="Noto Kufi Arabic" w:hAnsiTheme="majorBidi" w:hint="cs"/>
          <w:sz w:val="32"/>
          <w:szCs w:val="32"/>
          <w:rtl w:val="0"/>
        </w:rPr>
        <w:t xml:space="preserve"> </w:t>
      </w:r>
      <w:r w:rsidR="00C81FDB" w:rsidRPr="00474D65">
        <w:rPr>
          <w:rFonts w:asciiTheme="majorBidi" w:eastAsia="Noto Kufi Arabic" w:hAnsiTheme="majorBidi"/>
        </w:rPr>
        <w:t>المقدمة والسياق</w:t>
      </w:r>
      <w:bookmarkEnd w:id="5"/>
      <w:bookmarkEnd w:id="6"/>
    </w:p>
    <w:p w14:paraId="31872F6B" w14:textId="4C100913" w:rsidR="00217BB6" w:rsidRPr="00474D65" w:rsidRDefault="00C81FDB" w:rsidP="00474D65">
      <w:pPr>
        <w:pStyle w:val="Heading2"/>
        <w:spacing w:before="140" w:after="80"/>
        <w:rPr>
          <w:rFonts w:asciiTheme="majorBidi" w:hAnsiTheme="majorBidi"/>
        </w:rPr>
      </w:pPr>
      <w:bookmarkStart w:id="7" w:name="_Toc238548575"/>
      <w:r w:rsidRPr="00474D65">
        <w:rPr>
          <w:rFonts w:asciiTheme="majorBidi" w:eastAsia="Noto Kufi Arabic" w:hAnsiTheme="majorBidi"/>
        </w:rPr>
        <w:t>١.١ خلفية التحدي</w:t>
      </w:r>
      <w:bookmarkEnd w:id="7"/>
    </w:p>
    <w:p w14:paraId="2A32E753" w14:textId="77777777"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ينظم برنامج «ابتكار إنفاذ» بالشراكة بين جامعة القصيم ومركز الإسناد والتصفية «إنفاذ» بهدف تطوير حلول مبتكرة وفعالة في أعمال البيع والتصفية، مع توظيف التقنيات الناشئة والذكاء الاصطناعي لرفع الكفاءة وتعزيز رضا المستفيدين. ويطرح مسار المزادات سؤالًا مباشرًا حول كيفية استخدام التقنيات الحديثة والذكاء الاصطناعي لتطوير تجربة المزادات ورفع كفاءتها وزيادة الشفافية والثقة وتحسين تجربة جميع الأطراف (جامعة القصيم، 2026).</w:t>
      </w:r>
    </w:p>
    <w:p w14:paraId="7DE1319E" w14:textId="77777777" w:rsidR="00217BB6" w:rsidRDefault="00C81FDB" w:rsidP="00474D65">
      <w:pPr>
        <w:pStyle w:val="BodyArabic"/>
        <w:spacing w:after="110" w:line="276" w:lineRule="auto"/>
        <w:jc w:val="both"/>
        <w:rPr>
          <w:rFonts w:asciiTheme="majorBidi" w:eastAsia="Noto Naskh Arabic" w:hAnsiTheme="majorBidi" w:cstheme="majorBidi"/>
        </w:rPr>
      </w:pPr>
      <w:r w:rsidRPr="00474D65">
        <w:rPr>
          <w:rFonts w:asciiTheme="majorBidi" w:eastAsia="Noto Naskh Arabic" w:hAnsiTheme="majorBidi" w:cstheme="majorBidi"/>
        </w:rPr>
        <w:t>يتقاطع هذا التحدي مع طبيعة عمل إنفاذ نفسها؛ فالمركز يشرف على المزادات المنظمة من وكلاء البيع، سواء كانت علنية أو إلكترونية، لتصفية وبيع الأصول المسندة إليه من الجهات القضائية، ويعرّف أحد أهداف هذا الإشراف بأنه ضمان الشفافية والعدالة لتحقيق أعلى عائد مالي لأصحاب الحقوق (مركز الإسناد والتصفية «إنفاذ»، 2026ب). ولذلك فإن أي أداة تضيف قدرة أفضل على مراجعة سلوك المزايدات والتحقق من سلامة السجل ترتبط مباشرة بمبدأ الثقة الذي تقوم عليه العملية.</w:t>
      </w:r>
    </w:p>
    <w:p w14:paraId="55527C29" w14:textId="77777777" w:rsidR="00474D65" w:rsidRPr="00474D65" w:rsidRDefault="00474D65" w:rsidP="00474D65">
      <w:pPr>
        <w:pStyle w:val="BodyArabic"/>
        <w:spacing w:after="110" w:line="276" w:lineRule="auto"/>
        <w:jc w:val="both"/>
        <w:rPr>
          <w:rFonts w:asciiTheme="majorBidi" w:hAnsiTheme="majorBidi" w:cstheme="majorBidi"/>
        </w:rPr>
      </w:pPr>
    </w:p>
    <w:p w14:paraId="43396BC4" w14:textId="64527572" w:rsidR="00217BB6" w:rsidRDefault="00C81FDB" w:rsidP="00474D65">
      <w:pPr>
        <w:pStyle w:val="Heading2"/>
        <w:spacing w:before="140" w:after="80"/>
        <w:rPr>
          <w:rFonts w:asciiTheme="majorBidi" w:eastAsia="Noto Kufi Arabic" w:hAnsiTheme="majorBidi"/>
        </w:rPr>
      </w:pPr>
      <w:bookmarkStart w:id="8" w:name="_Toc238548576"/>
      <w:r w:rsidRPr="00474D65">
        <w:rPr>
          <w:rFonts w:asciiTheme="majorBidi" w:eastAsia="Noto Kufi Arabic" w:hAnsiTheme="majorBidi"/>
        </w:rPr>
        <w:t>١.٢ بيان المشكلة والدليل على الحاجة</w:t>
      </w:r>
      <w:bookmarkEnd w:id="8"/>
    </w:p>
    <w:p w14:paraId="4119094E" w14:textId="1E4DAC7F" w:rsidR="00B922CF" w:rsidRPr="00B922CF" w:rsidRDefault="00C81FDB" w:rsidP="00B922CF">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المشكلة التي يستهدفها ميزان هي «فئة مخاطر» معروفة في المزادات الإلكترونية: إمكان ظهور أنماط مزايدة غير اعتيادية أو تواطئية، وصعوبة فحص كل حدث يدويًا عند ارتفاع حجم التشغيل، إضافة إلى الحاجة للتأكد من أن سجل الأحداث الذي تتم مراجعته لم يتغير بعد تسجيله.</w:t>
      </w:r>
      <w:r w:rsidR="00B922CF" w:rsidRPr="00B922CF">
        <w:t xml:space="preserve"> </w:t>
      </w:r>
      <w:r w:rsidR="00B922CF" w:rsidRPr="00474D65">
        <w:rPr>
          <w:rFonts w:asciiTheme="majorBidi" w:eastAsia="Noto Naskh Arabic" w:hAnsiTheme="majorBidi" w:cstheme="majorBidi"/>
        </w:rPr>
        <w:t>لا تدّعي هذه الدراسة وجود تلاعب حالي مثبت داخل مزادات إنفاذ؛ فالمصادر العامة التي تمت مراجعتها</w:t>
      </w:r>
      <w:r w:rsidR="00B922CF">
        <w:rPr>
          <w:rFonts w:asciiTheme="majorBidi" w:eastAsia="Noto Naskh Arabic" w:hAnsiTheme="majorBidi" w:cstheme="majorBidi" w:hint="cs"/>
        </w:rPr>
        <w:t xml:space="preserve"> مع الفريق</w:t>
      </w:r>
      <w:r w:rsidR="00B922CF" w:rsidRPr="00474D65">
        <w:rPr>
          <w:rFonts w:asciiTheme="majorBidi" w:eastAsia="Noto Naskh Arabic" w:hAnsiTheme="majorBidi" w:cstheme="majorBidi"/>
        </w:rPr>
        <w:t xml:space="preserve"> لا تقدم دليلًا يسمح هذا الادعاء. </w:t>
      </w:r>
      <w:r w:rsidR="00B922CF">
        <w:rPr>
          <w:rFonts w:asciiTheme="majorBidi" w:eastAsia="Noto Naskh Arabic" w:hAnsiTheme="majorBidi" w:cstheme="majorBidi" w:hint="cs"/>
        </w:rPr>
        <w:t xml:space="preserve"> </w:t>
      </w:r>
    </w:p>
    <w:p w14:paraId="0CE8114D" w14:textId="61AB220F" w:rsidR="00217BB6" w:rsidRPr="00474D65" w:rsidRDefault="00B922CF" w:rsidP="00474D65">
      <w:pPr>
        <w:pStyle w:val="BodyArabic"/>
        <w:spacing w:after="110" w:line="276" w:lineRule="auto"/>
        <w:jc w:val="both"/>
        <w:rPr>
          <w:rFonts w:asciiTheme="majorBidi" w:hAnsiTheme="majorBidi" w:cstheme="majorBidi"/>
        </w:rPr>
      </w:pPr>
      <w:r>
        <w:rPr>
          <w:rFonts w:hint="cs"/>
        </w:rPr>
        <w:t xml:space="preserve"> ولكن </w:t>
      </w:r>
      <w:r>
        <w:t>تؤكد دراسات محكّمة</w:t>
      </w:r>
      <w:r>
        <w:rPr>
          <w:rFonts w:hint="cs"/>
        </w:rPr>
        <w:t xml:space="preserve"> اخرى</w:t>
      </w:r>
      <w:r>
        <w:t xml:space="preserve"> حجم المخاطرة </w:t>
      </w:r>
      <w:r>
        <w:rPr>
          <w:rFonts w:hint="cs"/>
        </w:rPr>
        <w:t>ب</w:t>
      </w:r>
      <w:r>
        <w:t>المزايدة الوهمية وصعوبة كشفها يدويًا. فقد رصدت دراسة تجريبية استمرت تسعة أسابيع على مزادات إلكترونية فعلية أن المزايدة الوهمية ترفع السعر النهائي بنسبة تتراوح بين 16% و44%، دون أن تلاحظها المنصة أو المزايدون الآخرون (نيكيتكوف وباي، 2015). كما قدّرت دراسة قياسية على بيانات فعلية من منصة إي باي موتورز أن نحو 9% من المزايدين يمارسون المزايدة الوهمية، وأن 22% من الإعلانات تحتوي على مزايدات من هذا النوع (تشين وآخرون، 2020). وفي الجانب التقني، طوّرت دراسات أخرى خوارزميات كشف قائمة على تحليل الشذوذ والعلاقات بين المزايدين لرصد التواطؤ بين أكثر من حساب، وأثبتت قابليتها للتطبيق على بيانات مزادات حقيقية (ماجادي وتريفاذان وبيرغمان، 2019؛ كولاتشيك وبالسيرزاك، 2015). هذه النتائج مجتمعة تدعم فرضية ميزان الأساسية: أن المزايدة الوهمية مخاطرة موثّقة علميًا يصعب اكتشافها بالمراجعة اليدوية وحدها، وتحتاج إلى أدوات فرز آلي تدعم المراجع البشري لا تحل محله.</w:t>
      </w:r>
      <w:r>
        <w:rPr>
          <w:rFonts w:hint="cs"/>
        </w:rPr>
        <w:t xml:space="preserve"> </w:t>
      </w:r>
    </w:p>
    <w:tbl>
      <w:tblPr>
        <w:tblStyle w:val="TableGrid"/>
        <w:bidiVisual/>
        <w:tblW w:w="0" w:type="auto"/>
        <w:tblLook w:val="04A0" w:firstRow="1" w:lastRow="0" w:firstColumn="1" w:lastColumn="0" w:noHBand="0" w:noVBand="1"/>
      </w:tblPr>
      <w:tblGrid>
        <w:gridCol w:w="3286"/>
        <w:gridCol w:w="3285"/>
        <w:gridCol w:w="3285"/>
      </w:tblGrid>
      <w:tr w:rsidR="00217BB6" w:rsidRPr="00474D65" w14:paraId="45D0A578"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3DEC7B4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7"/>
              </w:rPr>
              <w:t>الدليل الرسمي</w:t>
            </w:r>
          </w:p>
        </w:tc>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3443525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7"/>
              </w:rPr>
              <w:t>ما يثبته</w:t>
            </w:r>
          </w:p>
        </w:tc>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15BB1992"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7"/>
              </w:rPr>
              <w:t>دلالته على ميزان</w:t>
            </w:r>
          </w:p>
        </w:tc>
      </w:tr>
      <w:tr w:rsidR="00217BB6" w:rsidRPr="00474D65" w14:paraId="0078417D"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7068C59B"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مبيعات تتجاوز 10.7 مليارات ريال خلال النصف الأول من 2026، و3,089 أصلًا مباعًا/مصفى، و814 مزادًا حضوريًا وإلكترونيًا.</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7E71C36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إنفاذ يعمل على نطاق مرتفع من الأصول والمزادات.</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6D62C04D"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يزداد الاحتياج إلى فرز آلي يبرز الأحداث التي تستحق مراجعة بشرية.</w:t>
            </w:r>
          </w:p>
        </w:tc>
      </w:tr>
      <w:tr w:rsidR="00217BB6" w:rsidRPr="00474D65" w14:paraId="00A4EE07"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20750119"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إنفاذ يربط تنظيم المزادات بالشفافية والعدالة وتحقيق أعلى عائد مالي لأصحاب الحقوق.</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3B7E7C3"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الثقة والعدالة هدف تشغيلي معلن للمزاد.</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0142F45B"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نزاهة السلوك وسلامة السجل تتصلان مباشرة بالهدف المؤسسي.</w:t>
            </w:r>
          </w:p>
        </w:tc>
      </w:tr>
      <w:tr w:rsidR="00217BB6" w:rsidRPr="00474D65" w14:paraId="3E4CEEC7"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24C210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سياسة إي باي تحظر المزايدة الوهمية وتذكر أن لديها أنظمة لرصد ومراقبة أنماط وممارسات المزايدة.</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4D9C5F33"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رصد أنماط المزايدة ممارسة تشغيلية حقيقية لدى منصة مزادات كبرى.</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02FCFB9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فكرة مراقبة السلوك ليست افتراضًا نظريًا، مع ضرورة تكييفها للسياق المحلي.</w:t>
            </w:r>
          </w:p>
        </w:tc>
      </w:tr>
      <w:tr w:rsidR="00217BB6" w:rsidRPr="00474D65" w14:paraId="322A1DAB"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28712C1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تحدي مسار المزادات في ابتكار إنفاذ يطلب رفع الكفاءة والشفافية والثقة باستخدام التقنية والذكاء الاصطناعي.</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8B5A9D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المشكلة والحل المقترحان يقعان ضمن صميم التحدي الرسمي.</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0C40EF5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ميزان لا يضيف وظيفة جانبية؛ بل يستهدف معيارًا صريحًا في المسار.</w:t>
            </w:r>
          </w:p>
        </w:tc>
      </w:tr>
    </w:tbl>
    <w:p w14:paraId="14C0ECC9" w14:textId="77777777" w:rsidR="00217BB6" w:rsidRPr="00474D65" w:rsidRDefault="00C81FDB" w:rsidP="00474D65">
      <w:pPr>
        <w:pStyle w:val="CaptionArabic"/>
        <w:jc w:val="center"/>
        <w:rPr>
          <w:rFonts w:asciiTheme="majorBidi" w:hAnsiTheme="majorBidi" w:cstheme="majorBidi"/>
        </w:rPr>
      </w:pPr>
      <w:r w:rsidRPr="00474D65">
        <w:rPr>
          <w:rFonts w:asciiTheme="majorBidi" w:eastAsia="Noto Naskh Arabic" w:hAnsiTheme="majorBidi" w:cstheme="majorBidi"/>
        </w:rPr>
        <w:t>جدول ١: أدلة الحاجة إلى طبقة نزاهة ومراجعة في المزادات - مصادر رسمية/أولية.</w:t>
      </w:r>
    </w:p>
    <w:p w14:paraId="5B2B9E11" w14:textId="77777777" w:rsidR="001377C1" w:rsidRDefault="001377C1" w:rsidP="009A31E7">
      <w:pPr>
        <w:pStyle w:val="BodyArabic"/>
        <w:spacing w:after="110" w:line="276" w:lineRule="auto"/>
        <w:jc w:val="both"/>
        <w:rPr>
          <w:rFonts w:asciiTheme="majorBidi" w:eastAsia="Noto Naskh Arabic" w:hAnsiTheme="majorBidi" w:cstheme="majorBidi"/>
          <w:b/>
          <w:bCs/>
          <w:color w:val="FF0000"/>
          <w:u w:val="single"/>
          <w:rtl w:val="0"/>
        </w:rPr>
      </w:pPr>
    </w:p>
    <w:p w14:paraId="666347F5" w14:textId="77777777" w:rsidR="001377C1" w:rsidRDefault="001377C1" w:rsidP="009A31E7">
      <w:pPr>
        <w:pStyle w:val="BodyArabic"/>
        <w:spacing w:after="110" w:line="276" w:lineRule="auto"/>
        <w:jc w:val="both"/>
        <w:rPr>
          <w:rFonts w:asciiTheme="majorBidi" w:eastAsia="Noto Naskh Arabic" w:hAnsiTheme="majorBidi" w:cstheme="majorBidi"/>
          <w:b/>
          <w:bCs/>
          <w:color w:val="FF0000"/>
          <w:u w:val="single"/>
          <w:rtl w:val="0"/>
        </w:rPr>
      </w:pPr>
    </w:p>
    <w:p w14:paraId="08D5F744" w14:textId="335BDE13" w:rsidR="00474D65" w:rsidRPr="00474D65" w:rsidRDefault="00C81FDB" w:rsidP="009A31E7">
      <w:pPr>
        <w:pStyle w:val="BodyArabic"/>
        <w:spacing w:after="110" w:line="276" w:lineRule="auto"/>
        <w:jc w:val="both"/>
        <w:rPr>
          <w:rFonts w:asciiTheme="majorBidi" w:eastAsia="Noto Naskh Arabic" w:hAnsiTheme="majorBidi" w:cstheme="majorBidi"/>
          <w:rtl w:val="0"/>
          <w:cs w:val="0"/>
        </w:rPr>
      </w:pPr>
      <w:r w:rsidRPr="00A95914">
        <w:rPr>
          <w:rFonts w:asciiTheme="majorBidi" w:eastAsia="Noto Naskh Arabic" w:hAnsiTheme="majorBidi" w:cstheme="majorBidi"/>
          <w:b/>
          <w:bCs/>
          <w:color w:val="FF0000"/>
          <w:u w:val="single"/>
        </w:rPr>
        <w:t>كما أن المزايدة الوهمية معروفة عالميًا بوصفها إدخال مزايدات بهدف رفع السعر أو الجاذبية بصورة مصطنعة</w:t>
      </w:r>
      <w:r w:rsidRPr="00A95914">
        <w:rPr>
          <w:rFonts w:asciiTheme="majorBidi" w:eastAsia="Noto Naskh Arabic" w:hAnsiTheme="majorBidi" w:cstheme="majorBidi"/>
          <w:b/>
          <w:bCs/>
          <w:u w:val="single"/>
        </w:rPr>
        <w:t>.</w:t>
      </w:r>
      <w:r w:rsidRPr="00474D65">
        <w:rPr>
          <w:rFonts w:asciiTheme="majorBidi" w:eastAsia="Noto Naskh Arabic" w:hAnsiTheme="majorBidi" w:cstheme="majorBidi"/>
        </w:rPr>
        <w:t xml:space="preserve"> وتذكر إي باي صراحة أن هذا السلوك محظور وأن لديها أنظمة لرصد ومراقبة أنماط المزايدة (إي باي، د.ت.). وفي الجانب البحثي، طبقت دراسة محكمة منشورة عام 2024 خوارزمية للكشف عن المزايدة الوهمية التواطئية على بيانات منصة مزادات تجارية، وأظهرت أن تحليل تفاعلات المزايدين والشذوذ قابل للتطبيق على بيانات حقيقية، مع التنبيه إلى أن غياب القيم الحقيقية المؤكدة وصعوبة التنفيذ الفوري على نطاق ضخم يحدان من الادعاءات ويؤكدان أهمية المراجعة البشرية (جيريتسه وفان فيزنبيك، 2024).</w:t>
      </w:r>
    </w:p>
    <w:p w14:paraId="7C8C75C1" w14:textId="77777777" w:rsidR="009239BE" w:rsidRPr="00474D65" w:rsidRDefault="009239BE" w:rsidP="00474D65">
      <w:pPr>
        <w:pStyle w:val="BodyArabic"/>
        <w:spacing w:after="110" w:line="276" w:lineRule="auto"/>
        <w:jc w:val="both"/>
        <w:rPr>
          <w:rFonts w:asciiTheme="majorBidi" w:hAnsiTheme="majorBidi" w:cstheme="majorBidi"/>
          <w:cs w:val="0"/>
        </w:rPr>
      </w:pPr>
    </w:p>
    <w:p w14:paraId="22AF0E63" w14:textId="546F0EF6" w:rsidR="00217BB6" w:rsidRPr="00474D65" w:rsidRDefault="00C81FDB" w:rsidP="00474D65">
      <w:pPr>
        <w:pStyle w:val="Heading2"/>
        <w:spacing w:before="140" w:after="80"/>
        <w:rPr>
          <w:rFonts w:asciiTheme="majorBidi" w:hAnsiTheme="majorBidi"/>
        </w:rPr>
      </w:pPr>
      <w:bookmarkStart w:id="9" w:name="_Toc238548577"/>
      <w:r w:rsidRPr="00474D65">
        <w:rPr>
          <w:rFonts w:asciiTheme="majorBidi" w:eastAsia="Noto Kufi Arabic" w:hAnsiTheme="majorBidi"/>
        </w:rPr>
        <w:t>١.٣ أهمية الابتكار</w:t>
      </w:r>
      <w:bookmarkEnd w:id="9"/>
    </w:p>
    <w:p w14:paraId="30C7BE63" w14:textId="77777777" w:rsidR="00217BB6" w:rsidRPr="0050689F" w:rsidRDefault="00C81FDB" w:rsidP="0050689F">
      <w:pPr>
        <w:pStyle w:val="BodyArabic"/>
        <w:spacing w:after="110" w:line="360" w:lineRule="auto"/>
        <w:jc w:val="both"/>
        <w:rPr>
          <w:rFonts w:asciiTheme="majorBidi" w:eastAsia="Noto Naskh Arabic" w:hAnsiTheme="majorBidi" w:cstheme="majorBidi"/>
          <w:b/>
          <w:bCs/>
        </w:rPr>
      </w:pPr>
      <w:r w:rsidRPr="0050689F">
        <w:rPr>
          <w:rFonts w:asciiTheme="majorBidi" w:eastAsia="Noto Naskh Arabic" w:hAnsiTheme="majorBidi" w:cstheme="majorBidi"/>
          <w:b/>
          <w:bCs/>
        </w:rPr>
        <w:t>تكمن أهمية ميزان في نقل المراجع من التعامل مع «سجل طويل من الأحداث» إلى التعامل مع «أسباب واضحة قابلة للفحص». بدلًا من مطالبة المراجع بقراءة آلاف المزايدات أو الاعتماد على درجة خطورة غامضة، يعرض النظام ما الذي تغيّر عن خط أساس المزاد، ومن هم المزايدون الذين تكررت بينهم علاقة غير معتادة، وما الأحداث التي أنتجت التنبيه، وما إذا كانت نسخة السجل نفسها سليمة. بهذه الصورة يصبح الذكاء الاصطناعي أداة لترتيب الانتباه وتفسير الأدلة، لا بديلًا عن القرار المهني أو النظامي.</w:t>
      </w:r>
    </w:p>
    <w:p w14:paraId="355FAF74" w14:textId="77777777" w:rsidR="00474D65" w:rsidRPr="00474D65" w:rsidRDefault="00474D65" w:rsidP="00474D65">
      <w:pPr>
        <w:pStyle w:val="BodyArabic"/>
        <w:spacing w:after="110" w:line="276" w:lineRule="auto"/>
        <w:jc w:val="both"/>
        <w:rPr>
          <w:rFonts w:asciiTheme="majorBidi" w:hAnsiTheme="majorBidi" w:cstheme="majorBidi"/>
        </w:rPr>
      </w:pPr>
    </w:p>
    <w:p w14:paraId="79DFAE4F" w14:textId="3D07A12D" w:rsidR="00217BB6" w:rsidRDefault="00C81FDB" w:rsidP="00474D65">
      <w:pPr>
        <w:pStyle w:val="Heading1"/>
        <w:spacing w:before="200" w:after="80"/>
        <w:rPr>
          <w:rFonts w:asciiTheme="majorBidi" w:eastAsia="Noto Kufi Arabic" w:hAnsiTheme="majorBidi"/>
        </w:rPr>
      </w:pPr>
      <w:bookmarkStart w:id="10" w:name="bm_sec2"/>
      <w:bookmarkStart w:id="11" w:name="_Toc238548578"/>
      <w:r w:rsidRPr="00474D65">
        <w:rPr>
          <w:rFonts w:asciiTheme="majorBidi" w:eastAsia="Noto Kufi Arabic" w:hAnsiTheme="majorBidi"/>
        </w:rPr>
        <w:t>٢. وصف الابتكار وآلية العمل</w:t>
      </w:r>
      <w:bookmarkEnd w:id="10"/>
      <w:bookmarkEnd w:id="11"/>
    </w:p>
    <w:p w14:paraId="10A4D4F4" w14:textId="77777777" w:rsidR="00474D65" w:rsidRPr="00474D65" w:rsidRDefault="00474D65" w:rsidP="00474D65">
      <w:pPr>
        <w:rPr>
          <w:rFonts w:hint="eastAsia"/>
        </w:rPr>
      </w:pPr>
    </w:p>
    <w:p w14:paraId="152EFE71" w14:textId="3E11CCBF" w:rsidR="00217BB6" w:rsidRPr="00474D65" w:rsidRDefault="00C81FDB" w:rsidP="00474D65">
      <w:pPr>
        <w:pStyle w:val="Heading2"/>
        <w:spacing w:before="140" w:after="80"/>
        <w:rPr>
          <w:rFonts w:asciiTheme="majorBidi" w:hAnsiTheme="majorBidi"/>
        </w:rPr>
      </w:pPr>
      <w:bookmarkStart w:id="12" w:name="_Toc238548579"/>
      <w:r w:rsidRPr="00474D65">
        <w:rPr>
          <w:rFonts w:asciiTheme="majorBidi" w:eastAsia="Noto Kufi Arabic" w:hAnsiTheme="majorBidi"/>
        </w:rPr>
        <w:t>٢.١ جوهر ميزان</w:t>
      </w:r>
      <w:bookmarkEnd w:id="12"/>
    </w:p>
    <w:p w14:paraId="46E404B3" w14:textId="77777777" w:rsidR="00217BB6" w:rsidRPr="00474D65" w:rsidRDefault="00C81FDB" w:rsidP="0050689F">
      <w:pPr>
        <w:pStyle w:val="BodyArabic"/>
        <w:spacing w:after="110" w:line="360" w:lineRule="auto"/>
        <w:jc w:val="both"/>
        <w:rPr>
          <w:rFonts w:asciiTheme="majorBidi" w:hAnsiTheme="majorBidi" w:cstheme="majorBidi"/>
        </w:rPr>
      </w:pPr>
      <w:r w:rsidRPr="00474D65">
        <w:rPr>
          <w:rFonts w:asciiTheme="majorBidi" w:eastAsia="Noto Naskh Arabic" w:hAnsiTheme="majorBidi" w:cstheme="majorBidi"/>
        </w:rPr>
        <w:t>ميزان هو طبقة نزاهة ودعم قرار تتكامل مع بيئة المزاد القائمة. يستقبل النظام أحداث المزايدة بعد استبدال هوية المزايد بمعرّف مستعار، ويحلل توقيت المزايدات وقيمها وتسلسلها والعلاقات المتكررة بين المشاركين. ثم يعرض إشارات قابلة للتفسير للمراجع. وبالتوازي، ينشئ لكل حدث بصمة تشفيرية مترابطة بما قبله، بما يسمح باكتشاف أي تغيير لاحق في نسخة السجل التي يعتمد عليها التحليل.</w:t>
      </w:r>
    </w:p>
    <w:p w14:paraId="6B8FC8A7" w14:textId="0BE856B3" w:rsidR="00217BB6" w:rsidRPr="00474D65" w:rsidRDefault="00C81FDB" w:rsidP="00474D65">
      <w:pPr>
        <w:pStyle w:val="Heading2"/>
        <w:spacing w:before="140" w:after="80"/>
        <w:rPr>
          <w:rFonts w:asciiTheme="majorBidi" w:hAnsiTheme="majorBidi"/>
        </w:rPr>
      </w:pPr>
      <w:bookmarkStart w:id="13" w:name="_Toc238548580"/>
      <w:r w:rsidRPr="00474D65">
        <w:rPr>
          <w:rFonts w:asciiTheme="majorBidi" w:eastAsia="Noto Kufi Arabic" w:hAnsiTheme="majorBidi"/>
        </w:rPr>
        <w:t>٢.٢ الركيزتان الرئيسيتان</w:t>
      </w:r>
      <w:bookmarkEnd w:id="13"/>
    </w:p>
    <w:p w14:paraId="7F544AB4" w14:textId="77777777" w:rsidR="00F70ABB" w:rsidRDefault="00C81FDB" w:rsidP="00CD5745">
      <w:pPr>
        <w:pStyle w:val="BodyArabic"/>
        <w:spacing w:before="0" w:after="0" w:line="360" w:lineRule="auto"/>
        <w:jc w:val="both"/>
        <w:rPr>
          <w:rFonts w:asciiTheme="majorBidi" w:eastAsia="Noto Naskh Arabic" w:hAnsiTheme="majorBidi" w:cstheme="majorBidi"/>
        </w:rPr>
      </w:pPr>
      <w:r w:rsidRPr="00474D65">
        <w:rPr>
          <w:rFonts w:asciiTheme="majorBidi" w:eastAsia="Noto Naskh Arabic" w:hAnsiTheme="majorBidi" w:cstheme="majorBidi"/>
        </w:rPr>
        <w:t xml:space="preserve">الركيزة الأولى هي نزاهة السلوك: هل ظهر نمط يختلف بوضوح عن سلوك المزاد المعتاد ويستحق أن يراه المراجع؟ </w:t>
      </w:r>
    </w:p>
    <w:p w14:paraId="5060F41F" w14:textId="77777777" w:rsidR="00F70ABB" w:rsidRDefault="00C81FDB" w:rsidP="00CD5745">
      <w:pPr>
        <w:pStyle w:val="BodyArabic"/>
        <w:spacing w:before="0" w:after="0" w:line="360" w:lineRule="auto"/>
        <w:jc w:val="both"/>
        <w:rPr>
          <w:rFonts w:asciiTheme="majorBidi" w:eastAsia="Noto Naskh Arabic" w:hAnsiTheme="majorBidi" w:cstheme="majorBidi"/>
        </w:rPr>
      </w:pPr>
      <w:r w:rsidRPr="00474D65">
        <w:rPr>
          <w:rFonts w:asciiTheme="majorBidi" w:eastAsia="Noto Naskh Arabic" w:hAnsiTheme="majorBidi" w:cstheme="majorBidi"/>
        </w:rPr>
        <w:t xml:space="preserve">والركيزة الثانية هي سلامة السجل: هل تغيرت نسخة سجل المزاد بعد تسجيل الأحداث؟ </w:t>
      </w:r>
    </w:p>
    <w:p w14:paraId="0611A2D0" w14:textId="5FC2D48C" w:rsidR="00217BB6" w:rsidRDefault="00C81FDB" w:rsidP="00CD5745">
      <w:pPr>
        <w:pStyle w:val="BodyArabic"/>
        <w:spacing w:before="0" w:after="0" w:line="360" w:lineRule="auto"/>
        <w:jc w:val="both"/>
        <w:rPr>
          <w:rFonts w:asciiTheme="majorBidi" w:eastAsia="Noto Naskh Arabic" w:hAnsiTheme="majorBidi" w:cstheme="majorBidi"/>
        </w:rPr>
      </w:pPr>
      <w:r w:rsidRPr="00F70ABB">
        <w:rPr>
          <w:rFonts w:asciiTheme="majorBidi" w:eastAsia="Noto Naskh Arabic" w:hAnsiTheme="majorBidi" w:cstheme="majorBidi"/>
          <w:b/>
          <w:bCs/>
        </w:rPr>
        <w:t>الفصل بين السؤالين مهم؛ فقد يكون السلوك غير اعتيادي بينما يكون السجل سليمًا، وقد يكون السلوك طبيعيًا لكن نسخة السجل تعرضت لتغيير لاحق. لذلك لا يخلط ميزان بين تحليل السلوك والتحقق التشفيري</w:t>
      </w:r>
      <w:r w:rsidRPr="00474D65">
        <w:rPr>
          <w:rFonts w:asciiTheme="majorBidi" w:eastAsia="Noto Naskh Arabic" w:hAnsiTheme="majorBidi" w:cstheme="majorBidi"/>
        </w:rPr>
        <w:t>.</w:t>
      </w:r>
    </w:p>
    <w:p w14:paraId="38B2E772" w14:textId="35894F18" w:rsidR="00474D65" w:rsidRDefault="00474D65" w:rsidP="00CD5745">
      <w:pPr>
        <w:pStyle w:val="BodyArabic"/>
        <w:spacing w:before="0" w:after="0" w:line="276" w:lineRule="auto"/>
        <w:jc w:val="both"/>
        <w:rPr>
          <w:rFonts w:asciiTheme="majorBidi" w:hAnsiTheme="majorBidi" w:cstheme="majorBidi"/>
          <w:cs w:val="0"/>
        </w:rPr>
      </w:pPr>
    </w:p>
    <w:p w14:paraId="6FAC16CB" w14:textId="37F36A19" w:rsidR="009A31E7" w:rsidRDefault="009A31E7" w:rsidP="00474D65">
      <w:pPr>
        <w:pStyle w:val="BodyArabic"/>
        <w:spacing w:after="110" w:line="276" w:lineRule="auto"/>
        <w:jc w:val="both"/>
        <w:rPr>
          <w:rFonts w:asciiTheme="majorBidi" w:hAnsiTheme="majorBidi" w:cstheme="majorBidi"/>
          <w:cs w:val="0"/>
        </w:rPr>
      </w:pPr>
    </w:p>
    <w:p w14:paraId="47B952F2" w14:textId="2BAFF970" w:rsidR="0050689F" w:rsidRDefault="0050689F" w:rsidP="00474D65">
      <w:pPr>
        <w:pStyle w:val="BodyArabic"/>
        <w:spacing w:after="110" w:line="276" w:lineRule="auto"/>
        <w:jc w:val="both"/>
        <w:rPr>
          <w:rFonts w:asciiTheme="majorBidi" w:hAnsiTheme="majorBidi" w:cstheme="majorBidi"/>
          <w:cs w:val="0"/>
        </w:rPr>
      </w:pPr>
    </w:p>
    <w:p w14:paraId="25F6BCEA" w14:textId="26F9EC8F" w:rsidR="0050689F" w:rsidRDefault="0050689F" w:rsidP="00474D65">
      <w:pPr>
        <w:pStyle w:val="BodyArabic"/>
        <w:spacing w:after="110" w:line="276" w:lineRule="auto"/>
        <w:jc w:val="both"/>
        <w:rPr>
          <w:rFonts w:asciiTheme="majorBidi" w:hAnsiTheme="majorBidi" w:cstheme="majorBidi"/>
          <w:cs w:val="0"/>
        </w:rPr>
      </w:pPr>
    </w:p>
    <w:p w14:paraId="5CF4ED9C" w14:textId="3B4C5456" w:rsidR="001A3C6A" w:rsidRDefault="001A3C6A" w:rsidP="00474D65">
      <w:pPr>
        <w:pStyle w:val="BodyArabic"/>
        <w:spacing w:after="110" w:line="276" w:lineRule="auto"/>
        <w:jc w:val="both"/>
        <w:rPr>
          <w:rFonts w:asciiTheme="majorBidi" w:hAnsiTheme="majorBidi" w:cstheme="majorBidi"/>
          <w:cs w:val="0"/>
        </w:rPr>
      </w:pPr>
    </w:p>
    <w:p w14:paraId="7A4C38D6" w14:textId="020772B6" w:rsidR="001A3C6A" w:rsidRDefault="001A3C6A" w:rsidP="00474D65">
      <w:pPr>
        <w:pStyle w:val="BodyArabic"/>
        <w:spacing w:after="110" w:line="276" w:lineRule="auto"/>
        <w:jc w:val="both"/>
        <w:rPr>
          <w:rFonts w:asciiTheme="majorBidi" w:hAnsiTheme="majorBidi" w:cstheme="majorBidi"/>
          <w:cs w:val="0"/>
        </w:rPr>
      </w:pPr>
    </w:p>
    <w:p w14:paraId="72C85940" w14:textId="148009C2" w:rsidR="001A3C6A" w:rsidRDefault="001A3C6A" w:rsidP="00474D65">
      <w:pPr>
        <w:pStyle w:val="BodyArabic"/>
        <w:spacing w:after="110" w:line="276" w:lineRule="auto"/>
        <w:jc w:val="both"/>
        <w:rPr>
          <w:rFonts w:asciiTheme="majorBidi" w:hAnsiTheme="majorBidi" w:cstheme="majorBidi"/>
          <w:cs w:val="0"/>
        </w:rPr>
      </w:pPr>
    </w:p>
    <w:p w14:paraId="0F031333" w14:textId="63B188AB" w:rsidR="001A3C6A" w:rsidRDefault="001A3C6A" w:rsidP="00474D65">
      <w:pPr>
        <w:pStyle w:val="BodyArabic"/>
        <w:spacing w:after="110" w:line="276" w:lineRule="auto"/>
        <w:jc w:val="both"/>
        <w:rPr>
          <w:rFonts w:asciiTheme="majorBidi" w:hAnsiTheme="majorBidi" w:cstheme="majorBidi"/>
          <w:cs w:val="0"/>
        </w:rPr>
      </w:pPr>
    </w:p>
    <w:p w14:paraId="2CD4F67E" w14:textId="77777777" w:rsidR="001A3C6A" w:rsidRPr="00474D65" w:rsidRDefault="001A3C6A" w:rsidP="00474D65">
      <w:pPr>
        <w:pStyle w:val="BodyArabic"/>
        <w:spacing w:after="110" w:line="276" w:lineRule="auto"/>
        <w:jc w:val="both"/>
        <w:rPr>
          <w:rFonts w:asciiTheme="majorBidi" w:hAnsiTheme="majorBidi" w:cstheme="majorBidi"/>
        </w:rPr>
      </w:pPr>
    </w:p>
    <w:p w14:paraId="6D9FA7A7" w14:textId="7479E894" w:rsidR="00217BB6" w:rsidRPr="00474D65" w:rsidRDefault="00C81FDB" w:rsidP="00474D65">
      <w:pPr>
        <w:pStyle w:val="Heading2"/>
        <w:spacing w:before="140" w:after="80"/>
        <w:rPr>
          <w:rFonts w:asciiTheme="majorBidi" w:hAnsiTheme="majorBidi"/>
        </w:rPr>
      </w:pPr>
      <w:bookmarkStart w:id="14" w:name="_Toc238548581"/>
      <w:r w:rsidRPr="00474D65">
        <w:rPr>
          <w:rFonts w:asciiTheme="majorBidi" w:eastAsia="Noto Kufi Arabic" w:hAnsiTheme="majorBidi"/>
        </w:rPr>
        <w:t>٢.٣ كيف يعمل النظام بصورة مبسطة</w:t>
      </w:r>
      <w:bookmarkEnd w:id="14"/>
    </w:p>
    <w:tbl>
      <w:tblPr>
        <w:tblStyle w:val="TableGrid"/>
        <w:bidiVisual/>
        <w:tblW w:w="0" w:type="auto"/>
        <w:tblLook w:val="04A0" w:firstRow="1" w:lastRow="0" w:firstColumn="1" w:lastColumn="0" w:noHBand="0" w:noVBand="1"/>
      </w:tblPr>
      <w:tblGrid>
        <w:gridCol w:w="3286"/>
        <w:gridCol w:w="3285"/>
        <w:gridCol w:w="3285"/>
      </w:tblGrid>
      <w:tr w:rsidR="00217BB6" w:rsidRPr="00474D65" w14:paraId="54370C09"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20EFA44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7"/>
              </w:rPr>
              <w:t>المرحلة</w:t>
            </w:r>
          </w:p>
        </w:tc>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247F413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7"/>
              </w:rPr>
              <w:t>وظيفتها</w:t>
            </w:r>
          </w:p>
        </w:tc>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40F6B97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7"/>
              </w:rPr>
              <w:t>القيمة للمراجع</w:t>
            </w:r>
          </w:p>
        </w:tc>
      </w:tr>
      <w:tr w:rsidR="00217BB6" w:rsidRPr="00474D65" w14:paraId="1011D2EE"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ED5995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1 - استقبال الحدث</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4369C520"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يستقبل النظام رقم المزاد، المعرّف المستعار للمزايد، قيمة المزايدة، التوقيت ورقم التسلسل، مع أقل قدر ممكن من البيانات الإضافية.</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4BBC40E1"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توحيد البيانات مع حماية الهوية.</w:t>
            </w:r>
          </w:p>
        </w:tc>
      </w:tr>
      <w:tr w:rsidR="00217BB6" w:rsidRPr="00474D65" w14:paraId="3E02192B"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6D5AA1D"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2 - حساب المؤشرات</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DEBD01C"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يحسب مؤشرات بسيطة وقابلة للشرح مثل انتظام التوقيت، كثافة التناوب بين مزايدين، نمط الزيادات السعرية، تركز المشاركة، وتكرار العلاقات عبر المزادات.</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7A9B9723"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تقليل العمل اليدوي مع إبقاء القرار النهائي بيد المختص.</w:t>
            </w:r>
          </w:p>
        </w:tc>
      </w:tr>
      <w:tr w:rsidR="00217BB6" w:rsidRPr="00474D65" w14:paraId="145CEB12"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718C5F69"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3 - رصد الانحراف</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3135225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يقارن السلوك بخط أساس مناسب للمزاد، ويمكن دعم ذلك بكشف شذوذ خفيف مثل غابة العزل أو معامل الشذوذ المحلي عندما تتوفر بيانات كافية.</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E739D0D"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تقليل العمل اليدوي مع إبقاء القرار النهائي بيد المختص.</w:t>
            </w:r>
          </w:p>
        </w:tc>
      </w:tr>
      <w:tr w:rsidR="00217BB6" w:rsidRPr="00474D65" w14:paraId="025D0C2B"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BB2C1D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4 - تفسير التنبيه</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23C4418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لا يعرض النظام رقمًا فقط؛ بل يوضح سبب التنبيه والأحداث الداعمة، مثل تكرار التناوب خلال نافذة زمنية ضيقة أو سيطرة عدد محدود من المعرّفات على النشاط.</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3B13D19B"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تقليل العمل اليدوي مع إبقاء القرار النهائي بيد المختص.</w:t>
            </w:r>
          </w:p>
        </w:tc>
      </w:tr>
      <w:tr w:rsidR="00217BB6" w:rsidRPr="00474D65" w14:paraId="1346AC43"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46A86D7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5 - خريطة العلاقات</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467C4FA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يعرض شبكة مبسطة للمزايدين المستعارين، ويزداد وضوح الرابط كلما تكرر التفاعل، بحيث يرى المراجع النمط بصريًا دون كشف الهوية لغير المخولين.</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2A08162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تحويل التدفق إلى دليل بصري.</w:t>
            </w:r>
          </w:p>
        </w:tc>
      </w:tr>
      <w:tr w:rsidR="00217BB6" w:rsidRPr="00474D65" w14:paraId="33B0BE08"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94B54D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6 - التحقق من سلامة السجل</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7A0389E8"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ترتبط بصمة كل حدث بالحدث السابق. إذا تغير حدث قديم تتغير بصمته وينكسر التحقق في السلسلة اللاحقة. ويمكن تطوير ذلك لاحقًا إلى سجل إضافة فقط قائم على أشجار ميركل.</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74CE917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كشف التغيير اللاحق في نسخة السجل.</w:t>
            </w:r>
          </w:p>
        </w:tc>
      </w:tr>
      <w:tr w:rsidR="00217BB6" w:rsidRPr="00474D65" w14:paraId="6F1C42BB"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E770D5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7 - تقرير النزاهة</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848045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عند إغلاق المزاد يمكن إنشاء تقرير موحد يلخص سلامة السجل والتنبيهات وأسبابها وحالة المراجعة، ليكون مرجعًا تدقيقيًا واضحًا.</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DDC7FB6"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7"/>
              </w:rPr>
              <w:t>توثيق النتيجة وإتاحتها للمراجعة.</w:t>
            </w:r>
          </w:p>
        </w:tc>
      </w:tr>
    </w:tbl>
    <w:p w14:paraId="2A38E311" w14:textId="77777777" w:rsidR="00217BB6" w:rsidRDefault="00C81FDB" w:rsidP="00474D65">
      <w:pPr>
        <w:pStyle w:val="CaptionArabic"/>
        <w:jc w:val="center"/>
        <w:rPr>
          <w:rFonts w:asciiTheme="majorBidi" w:eastAsia="Noto Naskh Arabic" w:hAnsiTheme="majorBidi" w:cstheme="majorBidi"/>
        </w:rPr>
      </w:pPr>
      <w:r w:rsidRPr="00474D65">
        <w:rPr>
          <w:rFonts w:asciiTheme="majorBidi" w:eastAsia="Noto Naskh Arabic" w:hAnsiTheme="majorBidi" w:cstheme="majorBidi"/>
        </w:rPr>
        <w:t>جدول ٢: آلية عمل ميزان بمستوى تقني مبسط.</w:t>
      </w:r>
    </w:p>
    <w:p w14:paraId="128E348B" w14:textId="77777777" w:rsidR="00474D65" w:rsidRPr="00474D65" w:rsidRDefault="00474D65" w:rsidP="00474D65">
      <w:pPr>
        <w:pStyle w:val="CaptionArabic"/>
        <w:jc w:val="center"/>
        <w:rPr>
          <w:rFonts w:asciiTheme="majorBidi" w:hAnsiTheme="majorBidi" w:cstheme="majorBidi"/>
        </w:rPr>
      </w:pPr>
    </w:p>
    <w:p w14:paraId="636BC2A3" w14:textId="292974D1" w:rsidR="00217BB6" w:rsidRPr="00474D65" w:rsidRDefault="00C81FDB" w:rsidP="00474D65">
      <w:pPr>
        <w:pStyle w:val="Heading2"/>
        <w:spacing w:before="140" w:after="80"/>
        <w:rPr>
          <w:rFonts w:asciiTheme="majorBidi" w:hAnsiTheme="majorBidi"/>
        </w:rPr>
      </w:pPr>
      <w:bookmarkStart w:id="15" w:name="_Toc238548582"/>
      <w:r w:rsidRPr="00474D65">
        <w:rPr>
          <w:rFonts w:asciiTheme="majorBidi" w:eastAsia="Noto Kufi Arabic" w:hAnsiTheme="majorBidi"/>
        </w:rPr>
        <w:t>٢.٤ مؤشرات سلوكية مرشحة</w:t>
      </w:r>
      <w:bookmarkEnd w:id="15"/>
    </w:p>
    <w:p w14:paraId="3816E1A6" w14:textId="77777777"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لا يعتمد ميزان في البداية على «نموذج احتيال أسود» يحتاج إلى بيانات معنونة ضخمة؛ بل يبدأ بمؤشرات مفهومة يمكن تفسيرها للمراجع، ثم يستخدم كشف الشذوذ لفرز الحالات. هذا الاختيار أكثر ملاءمة للبيئات التي تتطلب تفسيرًا واضحًا لكل تنبيه، كما أنه يحد من خطورة تحويل نتيجة احتمالية إلى حكم قاطع.</w:t>
      </w:r>
    </w:p>
    <w:p w14:paraId="60DB6F80"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انتظام التوقيت: فواصل زمنية متشابهة بصورة غير معتادة قد تدل على سلوك آلي أو منظم يستحق المراجعة.</w:t>
      </w:r>
    </w:p>
    <w:p w14:paraId="5D51654E"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كثافة التناوب: عدد مرات تعاقب مزايدين محددين مباشرة على بعضهما خلال فترة قصيرة.</w:t>
      </w:r>
    </w:p>
    <w:p w14:paraId="16A83914"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نمط الزيادات: تكرار زيادات سعرية متشابهة أو منتظمة بصورة لا تتوافق مع خط أساس المزاد.</w:t>
      </w:r>
    </w:p>
    <w:p w14:paraId="4EA282A4"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تركز المشاركة: نسبة كبيرة من المزايدات تأتي من مجموعة صغيرة من المعرّفات.</w:t>
      </w:r>
    </w:p>
    <w:p w14:paraId="4B7AA744"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المشاركة مقابل الفوز: مقارنة نمط المشاركة المتكرر مع مرات الفوز عبر عدد من المزادات.</w:t>
      </w:r>
    </w:p>
    <w:p w14:paraId="3B6FC5CD" w14:textId="77777777" w:rsidR="00217BB6" w:rsidRDefault="00C81FDB" w:rsidP="00474D65">
      <w:pPr>
        <w:pStyle w:val="BodyArabic"/>
        <w:spacing w:after="60" w:line="276" w:lineRule="auto"/>
        <w:ind w:left="170" w:right="255" w:hanging="170"/>
        <w:jc w:val="both"/>
        <w:rPr>
          <w:rFonts w:asciiTheme="majorBidi" w:eastAsia="Noto Naskh Arabic" w:hAnsiTheme="majorBidi" w:cstheme="majorBidi"/>
          <w:sz w:val="22"/>
        </w:rPr>
      </w:pPr>
      <w:r w:rsidRPr="00474D65">
        <w:rPr>
          <w:rFonts w:asciiTheme="majorBidi" w:eastAsia="Noto Naskh Arabic" w:hAnsiTheme="majorBidi" w:cstheme="majorBidi"/>
          <w:sz w:val="22"/>
        </w:rPr>
        <w:t>•  العلاقات عبر المزادات: تكرار ظهور الأزواج أو المجموعات نفسها في مزادات متعددة، وهو ما يمكن تمثيله شبكيًا.</w:t>
      </w:r>
    </w:p>
    <w:p w14:paraId="4D8E5D6F" w14:textId="77777777" w:rsidR="00474D65" w:rsidRPr="00474D65" w:rsidRDefault="00474D65" w:rsidP="00474D65">
      <w:pPr>
        <w:pStyle w:val="BodyArabic"/>
        <w:spacing w:after="60" w:line="276" w:lineRule="auto"/>
        <w:ind w:left="170" w:right="255" w:hanging="170"/>
        <w:jc w:val="both"/>
        <w:rPr>
          <w:rFonts w:asciiTheme="majorBidi" w:hAnsiTheme="majorBidi" w:cstheme="majorBidi"/>
        </w:rPr>
      </w:pPr>
    </w:p>
    <w:p w14:paraId="4A042B1B" w14:textId="71451E3E" w:rsidR="00217BB6" w:rsidRPr="00474D65" w:rsidRDefault="00C81FDB" w:rsidP="00E643F0">
      <w:pPr>
        <w:pStyle w:val="Heading2"/>
        <w:spacing w:before="140" w:after="80"/>
        <w:rPr>
          <w:rFonts w:asciiTheme="majorBidi" w:hAnsiTheme="majorBidi"/>
        </w:rPr>
      </w:pPr>
      <w:bookmarkStart w:id="16" w:name="_Toc238548583"/>
      <w:r w:rsidRPr="00474D65">
        <w:rPr>
          <w:rFonts w:asciiTheme="majorBidi" w:eastAsia="Noto Kufi Arabic" w:hAnsiTheme="majorBidi"/>
        </w:rPr>
        <w:t>٢.٥ المستفيدون وأصحاب المصلحة</w:t>
      </w:r>
      <w:bookmarkEnd w:id="16"/>
    </w:p>
    <w:p w14:paraId="40C96D04" w14:textId="45E07A87" w:rsidR="00474D65" w:rsidRPr="00E643F0" w:rsidRDefault="00C81FDB" w:rsidP="00E643F0">
      <w:pPr>
        <w:pStyle w:val="BodyArabic"/>
        <w:spacing w:after="110" w:line="276" w:lineRule="auto"/>
        <w:jc w:val="both"/>
        <w:rPr>
          <w:rFonts w:asciiTheme="majorBidi" w:eastAsia="Noto Naskh Arabic" w:hAnsiTheme="majorBidi" w:cstheme="majorBidi"/>
          <w:cs w:val="0"/>
        </w:rPr>
      </w:pPr>
      <w:r w:rsidRPr="00474D65">
        <w:rPr>
          <w:rFonts w:asciiTheme="majorBidi" w:eastAsia="Noto Naskh Arabic" w:hAnsiTheme="majorBidi" w:cstheme="majorBidi"/>
        </w:rPr>
        <w:t>المستفيد الأول من ميزان هو المراجع أو المشرف على المزاد الذي يحتاج إلى رؤية ما يستحق الانتباه بسرعة وبأسباب واضحة. كما تستفيد إنفاذ ووكلاء البيع من رفع قابلية التدقيق وتوحيد تقارير النزاهة، ويستفيد أصحاب الحقوق من تعزيز الثقة في أن عملية البيع تخضع لرقابة منهجية، بينما يستفيد المزايد النظامي من بيئة أكثر وضوحًا وعدالة. ويمكن أن تستفيد الجهات العدلية والرقابية من وجود أثر تدقيقي منظم عند الحاجة، دون أن يعني ذلك أن ميزان يصدر قرارًا قانونيًا بنفسه.</w:t>
      </w:r>
    </w:p>
    <w:p w14:paraId="36715B51" w14:textId="094F0F74" w:rsidR="00217BB6" w:rsidRDefault="00C81FDB" w:rsidP="00474D65">
      <w:pPr>
        <w:pStyle w:val="Heading1"/>
        <w:spacing w:before="200" w:after="80"/>
        <w:rPr>
          <w:rFonts w:asciiTheme="majorBidi" w:eastAsia="Noto Kufi Arabic" w:hAnsiTheme="majorBidi"/>
        </w:rPr>
      </w:pPr>
      <w:bookmarkStart w:id="17" w:name="bm_sec3"/>
      <w:bookmarkStart w:id="18" w:name="_Toc238548584"/>
      <w:r w:rsidRPr="00474D65">
        <w:rPr>
          <w:rFonts w:asciiTheme="majorBidi" w:eastAsia="Noto Kufi Arabic" w:hAnsiTheme="majorBidi"/>
        </w:rPr>
        <w:t>٣. الحلول القائمة والفجوة الابتكارية</w:t>
      </w:r>
      <w:bookmarkEnd w:id="17"/>
      <w:bookmarkEnd w:id="18"/>
    </w:p>
    <w:p w14:paraId="1FF3A09C" w14:textId="77777777" w:rsidR="00474D65" w:rsidRPr="00474D65" w:rsidRDefault="00474D65" w:rsidP="00474D65">
      <w:pPr>
        <w:rPr>
          <w:rFonts w:hint="eastAsia"/>
        </w:rPr>
      </w:pPr>
    </w:p>
    <w:p w14:paraId="35C90140" w14:textId="55528585" w:rsidR="00217BB6" w:rsidRPr="00474D65" w:rsidRDefault="00C81FDB" w:rsidP="00474D65">
      <w:pPr>
        <w:pStyle w:val="Heading2"/>
        <w:spacing w:before="140" w:after="80"/>
        <w:rPr>
          <w:rFonts w:asciiTheme="majorBidi" w:hAnsiTheme="majorBidi"/>
        </w:rPr>
      </w:pPr>
      <w:bookmarkStart w:id="19" w:name="_Toc238548585"/>
      <w:r w:rsidRPr="00474D65">
        <w:rPr>
          <w:rFonts w:asciiTheme="majorBidi" w:eastAsia="Noto Kufi Arabic" w:hAnsiTheme="majorBidi"/>
        </w:rPr>
        <w:t>٣.١ ما الموجود حاليًا؟</w:t>
      </w:r>
      <w:bookmarkEnd w:id="19"/>
    </w:p>
    <w:p w14:paraId="7B41D162" w14:textId="77777777"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مراجعة الحلول والممارسات المتاحة علنًا تُظهر أن مكونات الفكرة موجودة منفردة في أكثر من سياق. إي باي، على سبيل المثال، يعلن أن لديه أنظمة لمراقبة أنماط وممارسات المزايدة، لكنه لا ينشر تفاصيل كافية عن آلية الكشف أو تفسير كل تنبيه للمستخدم (إي باي، د.ت.). وفي البحث الأكاديمي، أثبتت دراسات إمكانية بناء درجات شذوذ وشبكات علاقات من بيانات مزادات تجارية للكشف عن التواطؤ المحتمل، لكنها تؤكد أيضًا صعوبة إثبات الدقة دون بيانات حقيقة معنونة والتحديات الحسابية عند التوسع (جيريتسه وفان فيزنبيك، 2024).</w:t>
      </w:r>
    </w:p>
    <w:p w14:paraId="270A9457" w14:textId="77777777" w:rsidR="00217BB6" w:rsidRDefault="00C81FDB" w:rsidP="00474D65">
      <w:pPr>
        <w:pStyle w:val="BodyArabic"/>
        <w:spacing w:after="110" w:line="276" w:lineRule="auto"/>
        <w:jc w:val="both"/>
        <w:rPr>
          <w:rFonts w:asciiTheme="majorBidi" w:eastAsia="Noto Naskh Arabic" w:hAnsiTheme="majorBidi" w:cstheme="majorBidi"/>
        </w:rPr>
      </w:pPr>
      <w:r w:rsidRPr="00474D65">
        <w:rPr>
          <w:rFonts w:asciiTheme="majorBidi" w:eastAsia="Noto Naskh Arabic" w:hAnsiTheme="majorBidi" w:cstheme="majorBidi"/>
        </w:rPr>
        <w:t>وفي جانب سلامة السجلات، توجد تقنيات ناضجة لبناء سجلات يمكن التحقق من اتساقها؛ فمعيار التجزئة الآمنة يوفّر خوارزميات بصمة تشفيرية، بينما يوضح RFC 9162 نموذج السجل الإضافي فقط القائم على أشجار ميركل وبراهين الإدراج والاتساق. هذه التقنيات ليست خاصة بالمزادات، وهو ما يبرز فرصة ميزان في توظيفها داخل تجربة مراجعة المزاد وربطها مباشرة بالتنبيهات السلوكية بدل استخدامها كسجل تقني منفصل (المعهد الوطني الأمريكي للمعايير والتقنية، 2015؛ محررو RFC، 2021).</w:t>
      </w:r>
    </w:p>
    <w:p w14:paraId="1399A461" w14:textId="579C91A7" w:rsidR="00474D65" w:rsidRDefault="00474D65" w:rsidP="00474D65">
      <w:pPr>
        <w:pStyle w:val="BodyArabic"/>
        <w:spacing w:after="110" w:line="276" w:lineRule="auto"/>
        <w:jc w:val="both"/>
        <w:rPr>
          <w:rFonts w:asciiTheme="majorBidi" w:hAnsiTheme="majorBidi" w:cstheme="majorBidi"/>
          <w:cs w:val="0"/>
        </w:rPr>
      </w:pPr>
    </w:p>
    <w:p w14:paraId="2C8C96E0" w14:textId="2884D5BC" w:rsidR="001377C1" w:rsidRDefault="001377C1" w:rsidP="00474D65">
      <w:pPr>
        <w:pStyle w:val="BodyArabic"/>
        <w:spacing w:after="110" w:line="276" w:lineRule="auto"/>
        <w:jc w:val="both"/>
        <w:rPr>
          <w:rFonts w:asciiTheme="majorBidi" w:hAnsiTheme="majorBidi" w:cstheme="majorBidi"/>
          <w:cs w:val="0"/>
        </w:rPr>
      </w:pPr>
    </w:p>
    <w:p w14:paraId="0B085648" w14:textId="59E2B87C" w:rsidR="001377C1" w:rsidRDefault="001377C1" w:rsidP="00474D65">
      <w:pPr>
        <w:pStyle w:val="BodyArabic"/>
        <w:spacing w:after="110" w:line="276" w:lineRule="auto"/>
        <w:jc w:val="both"/>
        <w:rPr>
          <w:rFonts w:asciiTheme="majorBidi" w:hAnsiTheme="majorBidi" w:cstheme="majorBidi"/>
          <w:cs w:val="0"/>
        </w:rPr>
      </w:pPr>
    </w:p>
    <w:p w14:paraId="69CC4CF4" w14:textId="5DB119A9" w:rsidR="001377C1" w:rsidRDefault="001377C1" w:rsidP="00474D65">
      <w:pPr>
        <w:pStyle w:val="BodyArabic"/>
        <w:spacing w:after="110" w:line="276" w:lineRule="auto"/>
        <w:jc w:val="both"/>
        <w:rPr>
          <w:rFonts w:asciiTheme="majorBidi" w:hAnsiTheme="majorBidi" w:cstheme="majorBidi"/>
          <w:cs w:val="0"/>
        </w:rPr>
      </w:pPr>
    </w:p>
    <w:p w14:paraId="6E324D3F" w14:textId="77777777" w:rsidR="001377C1" w:rsidRDefault="001377C1" w:rsidP="00474D65">
      <w:pPr>
        <w:pStyle w:val="BodyArabic"/>
        <w:spacing w:after="110" w:line="276" w:lineRule="auto"/>
        <w:jc w:val="both"/>
        <w:rPr>
          <w:rFonts w:asciiTheme="majorBidi" w:hAnsiTheme="majorBidi" w:cstheme="majorBidi"/>
          <w:cs w:val="0"/>
        </w:rPr>
      </w:pPr>
    </w:p>
    <w:p w14:paraId="35EAC5C6" w14:textId="55F6992B" w:rsidR="00E643F0" w:rsidRDefault="00E643F0" w:rsidP="00474D65">
      <w:pPr>
        <w:pStyle w:val="BodyArabic"/>
        <w:spacing w:after="110" w:line="276" w:lineRule="auto"/>
        <w:jc w:val="both"/>
        <w:rPr>
          <w:rFonts w:asciiTheme="majorBidi" w:hAnsiTheme="majorBidi" w:cstheme="majorBidi"/>
          <w:cs w:val="0"/>
        </w:rPr>
      </w:pPr>
    </w:p>
    <w:p w14:paraId="705EF909" w14:textId="6A725027" w:rsidR="00CD5745" w:rsidRDefault="00CD5745" w:rsidP="00474D65">
      <w:pPr>
        <w:pStyle w:val="BodyArabic"/>
        <w:spacing w:after="110" w:line="276" w:lineRule="auto"/>
        <w:jc w:val="both"/>
        <w:rPr>
          <w:rFonts w:asciiTheme="majorBidi" w:hAnsiTheme="majorBidi" w:cstheme="majorBidi"/>
          <w:cs w:val="0"/>
        </w:rPr>
      </w:pPr>
    </w:p>
    <w:p w14:paraId="3E79CDD9" w14:textId="77777777" w:rsidR="00CD5745" w:rsidRDefault="00CD5745" w:rsidP="00474D65">
      <w:pPr>
        <w:pStyle w:val="BodyArabic"/>
        <w:spacing w:after="110" w:line="276" w:lineRule="auto"/>
        <w:jc w:val="both"/>
        <w:rPr>
          <w:rFonts w:asciiTheme="majorBidi" w:hAnsiTheme="majorBidi" w:cstheme="majorBidi"/>
          <w:cs w:val="0"/>
        </w:rPr>
      </w:pPr>
    </w:p>
    <w:p w14:paraId="69BF1C2A" w14:textId="77777777" w:rsidR="00E643F0" w:rsidRPr="00474D65" w:rsidRDefault="00E643F0" w:rsidP="00474D65">
      <w:pPr>
        <w:pStyle w:val="BodyArabic"/>
        <w:spacing w:after="110" w:line="276" w:lineRule="auto"/>
        <w:jc w:val="both"/>
        <w:rPr>
          <w:rFonts w:asciiTheme="majorBidi" w:hAnsiTheme="majorBidi" w:cstheme="majorBidi"/>
        </w:rPr>
      </w:pPr>
    </w:p>
    <w:p w14:paraId="5BE98B45" w14:textId="7669879A" w:rsidR="00217BB6" w:rsidRPr="00474D65" w:rsidRDefault="00C81FDB" w:rsidP="00474D65">
      <w:pPr>
        <w:pStyle w:val="Heading2"/>
        <w:spacing w:before="140" w:after="80"/>
        <w:rPr>
          <w:rFonts w:asciiTheme="majorBidi" w:hAnsiTheme="majorBidi"/>
        </w:rPr>
      </w:pPr>
      <w:bookmarkStart w:id="20" w:name="_Toc238548586"/>
      <w:r w:rsidRPr="00474D65">
        <w:rPr>
          <w:rFonts w:asciiTheme="majorBidi" w:eastAsia="Noto Kufi Arabic" w:hAnsiTheme="majorBidi"/>
        </w:rPr>
        <w:t>٣.٢ أين يتميز ميزان؟</w:t>
      </w:r>
      <w:bookmarkEnd w:id="20"/>
    </w:p>
    <w:tbl>
      <w:tblPr>
        <w:tblStyle w:val="TableGrid"/>
        <w:bidiVisual/>
        <w:tblW w:w="0" w:type="auto"/>
        <w:tblLook w:val="04A0" w:firstRow="1" w:lastRow="0" w:firstColumn="1" w:lastColumn="0" w:noHBand="0" w:noVBand="1"/>
      </w:tblPr>
      <w:tblGrid>
        <w:gridCol w:w="1972"/>
        <w:gridCol w:w="1971"/>
        <w:gridCol w:w="1971"/>
        <w:gridCol w:w="1971"/>
        <w:gridCol w:w="1971"/>
      </w:tblGrid>
      <w:tr w:rsidR="00217BB6" w:rsidRPr="00474D65" w14:paraId="0D70C84E" w14:textId="77777777">
        <w:trPr>
          <w:cantSplit/>
        </w:trPr>
        <w:tc>
          <w:tcPr>
            <w:tcW w:w="1973"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2990C2B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القدرة</w:t>
            </w:r>
          </w:p>
        </w:tc>
        <w:tc>
          <w:tcPr>
            <w:tcW w:w="1973"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318AA87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منصات مزادات عامة</w:t>
            </w:r>
          </w:p>
        </w:tc>
        <w:tc>
          <w:tcPr>
            <w:tcW w:w="1973"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2F6EC496"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أبحاث الكشف</w:t>
            </w:r>
          </w:p>
        </w:tc>
        <w:tc>
          <w:tcPr>
            <w:tcW w:w="1973"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47788E0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سجلات كاشفة للعبث</w:t>
            </w:r>
          </w:p>
        </w:tc>
        <w:tc>
          <w:tcPr>
            <w:tcW w:w="1973"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76ED6CB8"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ميزان</w:t>
            </w:r>
          </w:p>
        </w:tc>
      </w:tr>
      <w:tr w:rsidR="00217BB6" w:rsidRPr="00474D65" w14:paraId="4867B56C" w14:textId="77777777">
        <w:trPr>
          <w:cantSplit/>
        </w:trPr>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3AC11CB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رصد أنماط المزايدة</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D789F02"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متوفر في بعض المنصات لكن التفاصيل غالبًا مغلقة</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3778DE7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نعم</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32FBC47D"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ليس محورًا أساسيًا</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7FADC4E6"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نعم، بمؤشرات قابلة للتفسير</w:t>
            </w:r>
          </w:p>
        </w:tc>
      </w:tr>
      <w:tr w:rsidR="00217BB6" w:rsidRPr="00474D65" w14:paraId="52BF421D" w14:textId="77777777">
        <w:trPr>
          <w:cantSplit/>
        </w:trPr>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DA7D27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خريطة علاقات المزايدين</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3A41FE1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غير شائعة علنًا</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0BD908D"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نعم في بعض الأبحاث</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535F1CA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لا</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02DC268B"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نعم ومتصلة بالتنبيه</w:t>
            </w:r>
          </w:p>
        </w:tc>
      </w:tr>
      <w:tr w:rsidR="00217BB6" w:rsidRPr="00474D65" w14:paraId="33ADEEB2" w14:textId="77777777">
        <w:trPr>
          <w:cantSplit/>
        </w:trPr>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0E584568"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التحقق من سلامة السجل</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6B6B5C5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قد يتوفر كسجل تدقيق</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0C2E408"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ليس محورًا رئيسيًا</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FB2B9C9"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نعم</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268E144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نعم، مستقل عن تحليل السلوك</w:t>
            </w:r>
          </w:p>
        </w:tc>
      </w:tr>
      <w:tr w:rsidR="00217BB6" w:rsidRPr="00474D65" w14:paraId="11DF7DAD" w14:textId="77777777">
        <w:trPr>
          <w:cantSplit/>
        </w:trPr>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32AAEDE5"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تفسير سبب التنبيه للمراجع</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62752BC0"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غير واضح علنًا</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41C627B"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يمكن بناؤه من المؤشرات</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0FFADA95"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لا ينطبق</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25A04E10"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جزء أساسي من التصميم</w:t>
            </w:r>
          </w:p>
        </w:tc>
      </w:tr>
      <w:tr w:rsidR="00217BB6" w:rsidRPr="00474D65" w14:paraId="11859C6E" w14:textId="77777777">
        <w:trPr>
          <w:cantSplit/>
        </w:trPr>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45E522B9"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تقرير موحد بعد المزاد</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0271FAFD"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تقارير تشغيلية متفرقة</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69B65EF9"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لا</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46676F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تقارير تدقيق</w:t>
            </w:r>
          </w:p>
        </w:tc>
        <w:tc>
          <w:tcPr>
            <w:tcW w:w="1973"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39EE998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يجمع السلوك وسلامة السجل وحالة المراجعة</w:t>
            </w:r>
          </w:p>
        </w:tc>
      </w:tr>
      <w:tr w:rsidR="00217BB6" w:rsidRPr="00474D65" w14:paraId="539AF35E" w14:textId="77777777">
        <w:trPr>
          <w:cantSplit/>
        </w:trPr>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DCED225"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ملاءمة سياق إنفاذ</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260B966"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حلول عامة</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23B53D5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بحث عام</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7B002BA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تقنية عامة</w:t>
            </w:r>
          </w:p>
        </w:tc>
        <w:tc>
          <w:tcPr>
            <w:tcW w:w="1973"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50973361"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مصمم لمسار المزادات في ابتكار إنفاذ</w:t>
            </w:r>
          </w:p>
        </w:tc>
      </w:tr>
    </w:tbl>
    <w:p w14:paraId="7A7742E6" w14:textId="77777777" w:rsidR="00217BB6" w:rsidRPr="00474D65" w:rsidRDefault="00C81FDB" w:rsidP="00474D65">
      <w:pPr>
        <w:pStyle w:val="CaptionArabic"/>
        <w:jc w:val="center"/>
        <w:rPr>
          <w:rFonts w:asciiTheme="majorBidi" w:hAnsiTheme="majorBidi" w:cstheme="majorBidi"/>
        </w:rPr>
      </w:pPr>
      <w:r w:rsidRPr="00474D65">
        <w:rPr>
          <w:rFonts w:asciiTheme="majorBidi" w:eastAsia="Noto Naskh Arabic" w:hAnsiTheme="majorBidi" w:cstheme="majorBidi"/>
        </w:rPr>
        <w:t>جدول ٣: مقارنة وصفية للفجوة التي يستهدفها ميزان.</w:t>
      </w:r>
    </w:p>
    <w:p w14:paraId="381D50F0" w14:textId="63A85D75" w:rsidR="00474D65" w:rsidRPr="00E643F0" w:rsidRDefault="00C81FDB" w:rsidP="00E643F0">
      <w:pPr>
        <w:pStyle w:val="BodyArabic"/>
        <w:spacing w:after="110" w:line="276" w:lineRule="auto"/>
        <w:jc w:val="both"/>
        <w:rPr>
          <w:rFonts w:asciiTheme="majorBidi" w:eastAsia="Noto Naskh Arabic" w:hAnsiTheme="majorBidi" w:cstheme="majorBidi"/>
        </w:rPr>
      </w:pPr>
      <w:r w:rsidRPr="00474D65">
        <w:rPr>
          <w:rFonts w:asciiTheme="majorBidi" w:eastAsia="Noto Naskh Arabic" w:hAnsiTheme="majorBidi" w:cstheme="majorBidi"/>
        </w:rPr>
        <w:t>بناءً على المراجعة العامة، لا ينبغي تقديم أي عنصر منفرد في ميزان على أنه اختراع لم يسبق إليه أحد.</w:t>
      </w:r>
      <w:r w:rsidRPr="00DB61E1">
        <w:rPr>
          <w:rFonts w:asciiTheme="majorBidi" w:eastAsia="Noto Naskh Arabic" w:hAnsiTheme="majorBidi" w:cstheme="majorBidi"/>
          <w:b/>
          <w:bCs/>
          <w:u w:val="single"/>
        </w:rPr>
        <w:t xml:space="preserve"> القيمة الابتكارية الأكثر قابلية للدفاع أمام لجنة التحكيم هي «التكامل المقصود»:</w:t>
      </w:r>
      <w:r w:rsidRPr="00474D65">
        <w:rPr>
          <w:rFonts w:asciiTheme="majorBidi" w:eastAsia="Noto Naskh Arabic" w:hAnsiTheme="majorBidi" w:cstheme="majorBidi"/>
        </w:rPr>
        <w:t xml:space="preserve"> تنبيه سلوكي قابل للتفسير، ودليل بصري للعلاقات، وآلية مستقلة للتحقق من سلامة السجل، ثم جمعها في تقرير واحد يخدم مراجع المزاد. كما أن ميزان يعمل فوق المنصة القائمة بدل محاولة استبدال محرك المزاد، وهو ما يخفض الاحتكاك التشغيلي ويجعل الفكرة قابلة للتبني بصورة تدريجية.</w:t>
      </w:r>
    </w:p>
    <w:p w14:paraId="76864735" w14:textId="4BF950F7" w:rsidR="00217BB6" w:rsidRDefault="00C81FDB" w:rsidP="00474D65">
      <w:pPr>
        <w:pStyle w:val="Heading1"/>
        <w:spacing w:before="200" w:after="80"/>
        <w:rPr>
          <w:rFonts w:asciiTheme="majorBidi" w:eastAsia="Noto Kufi Arabic" w:hAnsiTheme="majorBidi"/>
        </w:rPr>
      </w:pPr>
      <w:bookmarkStart w:id="21" w:name="bm_sec4"/>
      <w:bookmarkStart w:id="22" w:name="_Toc238548587"/>
      <w:r w:rsidRPr="00474D65">
        <w:rPr>
          <w:rFonts w:asciiTheme="majorBidi" w:eastAsia="Noto Kufi Arabic" w:hAnsiTheme="majorBidi"/>
        </w:rPr>
        <w:t>٤. النطاق والافتراضات والقيود</w:t>
      </w:r>
      <w:bookmarkEnd w:id="21"/>
      <w:bookmarkEnd w:id="22"/>
    </w:p>
    <w:p w14:paraId="210DB849" w14:textId="77777777" w:rsidR="00474D65" w:rsidRPr="00474D65" w:rsidRDefault="00474D65" w:rsidP="00474D65">
      <w:pPr>
        <w:rPr>
          <w:rFonts w:hint="eastAsia"/>
        </w:rPr>
      </w:pPr>
    </w:p>
    <w:p w14:paraId="1866A6A8" w14:textId="18B39CAA" w:rsidR="00217BB6" w:rsidRPr="00474D65" w:rsidRDefault="00C81FDB" w:rsidP="00474D65">
      <w:pPr>
        <w:pStyle w:val="Heading2"/>
        <w:spacing w:before="140" w:after="80"/>
        <w:rPr>
          <w:rFonts w:asciiTheme="majorBidi" w:hAnsiTheme="majorBidi"/>
        </w:rPr>
      </w:pPr>
      <w:bookmarkStart w:id="23" w:name="_Toc238548588"/>
      <w:r w:rsidRPr="00474D65">
        <w:rPr>
          <w:rFonts w:asciiTheme="majorBidi" w:eastAsia="Noto Kufi Arabic" w:hAnsiTheme="majorBidi"/>
        </w:rPr>
        <w:t>٤.١ نطاق الابتكار</w:t>
      </w:r>
      <w:bookmarkEnd w:id="23"/>
    </w:p>
    <w:p w14:paraId="35142BD0" w14:textId="77777777"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ينحصر دور ميزان في دعم الرقابة والمراجعة على أحداث المزاد الإلكتروني. فهو يستقبل بيانات الأحداث اللازمة للتحليل، يبني مؤشرات سلوكية، يظهر العلاقات، يتحقق من سلامة نسخة السجل، ويصدر تقريرًا موجزًا. لا يتولى النظام إدارة المزاد نفسه، ولا يقرر أهلية المزايدين، ولا يغيّر نتائج المزاد آليًا، ولا يصدر حكمًا قضائيًا أو اتهامًا بالاحتيال.</w:t>
      </w:r>
    </w:p>
    <w:p w14:paraId="61E1878D" w14:textId="75F6818D" w:rsidR="00217BB6" w:rsidRPr="00474D65" w:rsidRDefault="00C81FDB" w:rsidP="00474D65">
      <w:pPr>
        <w:pStyle w:val="Heading2"/>
        <w:spacing w:before="140" w:after="80"/>
        <w:rPr>
          <w:rFonts w:asciiTheme="majorBidi" w:hAnsiTheme="majorBidi"/>
        </w:rPr>
      </w:pPr>
      <w:bookmarkStart w:id="24" w:name="_Toc238548589"/>
      <w:r w:rsidRPr="00474D65">
        <w:rPr>
          <w:rFonts w:asciiTheme="majorBidi" w:eastAsia="Noto Kufi Arabic" w:hAnsiTheme="majorBidi"/>
        </w:rPr>
        <w:t>٤.٢ الافتراضات</w:t>
      </w:r>
      <w:bookmarkEnd w:id="24"/>
    </w:p>
    <w:p w14:paraId="241A26E2"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توفر تدفق منظم لأحداث المزايدة أو واجهة قراءة تسمح بالحصول على التوقيت والقيمة والتسلسل والمعرّف المستعار.</w:t>
      </w:r>
    </w:p>
    <w:p w14:paraId="1A526CD8"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وجود صلاحيات واضحة تضمن أن واجهة التحليل لا تحتاج إلى إظهار الهوية الحقيقية للمزايد.</w:t>
      </w:r>
    </w:p>
    <w:p w14:paraId="67264B8B"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إمكان بناء خط أساس سلوكي يتطور بمرور الوقت كلما توفرت بيانات تاريخية أكثر جودة.</w:t>
      </w:r>
    </w:p>
    <w:p w14:paraId="432D12B9" w14:textId="1ACA5676" w:rsidR="00217BB6" w:rsidRDefault="00C81FDB" w:rsidP="00474D65">
      <w:pPr>
        <w:pStyle w:val="BodyArabic"/>
        <w:spacing w:after="60" w:line="276" w:lineRule="auto"/>
        <w:ind w:left="170" w:right="255" w:hanging="170"/>
        <w:jc w:val="both"/>
        <w:rPr>
          <w:rFonts w:asciiTheme="majorBidi" w:eastAsia="Noto Naskh Arabic" w:hAnsiTheme="majorBidi" w:cstheme="majorBidi"/>
          <w:sz w:val="22"/>
        </w:rPr>
      </w:pPr>
      <w:r w:rsidRPr="00474D65">
        <w:rPr>
          <w:rFonts w:asciiTheme="majorBidi" w:eastAsia="Noto Naskh Arabic" w:hAnsiTheme="majorBidi" w:cstheme="majorBidi"/>
          <w:sz w:val="22"/>
        </w:rPr>
        <w:t>•  وجود مراجع بشري مخول يتخذ القرار النهائي بشأن التنبيه ويستطيع توثيق نتيجة المراجعة.</w:t>
      </w:r>
    </w:p>
    <w:p w14:paraId="5F63A7FC" w14:textId="77777777" w:rsidR="001377C1" w:rsidRPr="00474D65" w:rsidRDefault="001377C1" w:rsidP="00474D65">
      <w:pPr>
        <w:pStyle w:val="BodyArabic"/>
        <w:spacing w:after="60" w:line="276" w:lineRule="auto"/>
        <w:ind w:left="170" w:right="255" w:hanging="170"/>
        <w:jc w:val="both"/>
        <w:rPr>
          <w:rFonts w:asciiTheme="majorBidi" w:hAnsiTheme="majorBidi" w:cstheme="majorBidi"/>
        </w:rPr>
      </w:pPr>
    </w:p>
    <w:p w14:paraId="33342D62" w14:textId="79445484" w:rsidR="00217BB6" w:rsidRPr="00474D65" w:rsidRDefault="00C81FDB" w:rsidP="00474D65">
      <w:pPr>
        <w:pStyle w:val="Heading2"/>
        <w:spacing w:before="140" w:after="80"/>
        <w:rPr>
          <w:rFonts w:asciiTheme="majorBidi" w:hAnsiTheme="majorBidi"/>
        </w:rPr>
      </w:pPr>
      <w:bookmarkStart w:id="25" w:name="_Toc238548590"/>
      <w:r w:rsidRPr="00474D65">
        <w:rPr>
          <w:rFonts w:asciiTheme="majorBidi" w:eastAsia="Noto Kufi Arabic" w:hAnsiTheme="majorBidi"/>
        </w:rPr>
        <w:t>٤.٣ القيود</w:t>
      </w:r>
      <w:bookmarkEnd w:id="25"/>
    </w:p>
    <w:p w14:paraId="73BDCAD6"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أي مؤشر شذوذ قد ينتج إنذارات كاذبة؛ لذلك لا تُساوى الإشارة بإثبات التلاعب.</w:t>
      </w:r>
    </w:p>
    <w:p w14:paraId="531B6376"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جودة التحليل تعتمد على اكتمال بيانات الأحداث ودقتها وعلى مناسبة خط الأساس لكل نوع مزاد.</w:t>
      </w:r>
    </w:p>
    <w:p w14:paraId="5CC3791C"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التحليل الشبكي العميق عبر عدد كبير من المزادات قد يحتاج إلى تنفيذ غير متزامن بدلًا من المعالجة الفورية لكل حدث؛ وهو قيد يتوافق مع ما ناقشته الدراسة التجارية المنشورة عام 2024.</w:t>
      </w:r>
    </w:p>
    <w:p w14:paraId="520A1FCE" w14:textId="77777777" w:rsidR="00217BB6" w:rsidRPr="00474D65" w:rsidRDefault="00C81FDB" w:rsidP="00474D65">
      <w:pPr>
        <w:pStyle w:val="BodyArabic"/>
        <w:spacing w:after="60" w:line="276"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سلسلة البصمات تكشف تغير نسخة السجل مقارنة بما تم تسجيله، لكنها لا تثبت وحدها أن الحدث الأصلي كان مشروعًا أو أن المصدر لم يتعرض لاختراق قبل التسجيل.</w:t>
      </w:r>
    </w:p>
    <w:p w14:paraId="737251AD" w14:textId="4D16486A" w:rsidR="00474D65" w:rsidRPr="00E643F0" w:rsidRDefault="00C81FDB" w:rsidP="00E643F0">
      <w:pPr>
        <w:pStyle w:val="BodyArabic"/>
        <w:spacing w:after="60" w:line="276" w:lineRule="auto"/>
        <w:ind w:left="170" w:right="255" w:hanging="170"/>
        <w:jc w:val="both"/>
        <w:rPr>
          <w:rFonts w:asciiTheme="majorBidi" w:eastAsia="Noto Naskh Arabic" w:hAnsiTheme="majorBidi" w:cstheme="majorBidi"/>
          <w:sz w:val="22"/>
          <w:cs w:val="0"/>
        </w:rPr>
      </w:pPr>
      <w:r w:rsidRPr="00474D65">
        <w:rPr>
          <w:rFonts w:asciiTheme="majorBidi" w:eastAsia="Noto Naskh Arabic" w:hAnsiTheme="majorBidi" w:cstheme="majorBidi"/>
          <w:sz w:val="22"/>
        </w:rPr>
        <w:t>•  لا يمكن من المصادر العامة الجزم بوجود مشكلة تلاعب فعلية داخل إنفاذ؛ لذلك يجب أن يبقى خطاب الابتكار قائمًا على الوقاية ورفع القدرة الرقابية، لا على اتهام النظام القائم.</w:t>
      </w:r>
    </w:p>
    <w:p w14:paraId="7DB7904A" w14:textId="378D7D99" w:rsidR="00217BB6" w:rsidRDefault="00C81FDB" w:rsidP="00474D65">
      <w:pPr>
        <w:pStyle w:val="Heading1"/>
        <w:spacing w:before="200" w:after="80"/>
        <w:rPr>
          <w:rFonts w:asciiTheme="majorBidi" w:eastAsia="Noto Kufi Arabic" w:hAnsiTheme="majorBidi"/>
        </w:rPr>
      </w:pPr>
      <w:bookmarkStart w:id="26" w:name="bm_sec5"/>
      <w:bookmarkStart w:id="27" w:name="_Toc238548591"/>
      <w:r w:rsidRPr="00474D65">
        <w:rPr>
          <w:rFonts w:asciiTheme="majorBidi" w:eastAsia="Noto Kufi Arabic" w:hAnsiTheme="majorBidi"/>
        </w:rPr>
        <w:t xml:space="preserve">٥. </w:t>
      </w:r>
      <w:bookmarkEnd w:id="26"/>
      <w:r w:rsidR="00CD5745">
        <w:rPr>
          <w:rFonts w:asciiTheme="majorBidi" w:eastAsia="Noto Kufi Arabic" w:hAnsiTheme="majorBidi" w:hint="cs"/>
        </w:rPr>
        <w:t>دراسة الابتكار ونواحي التنفيذ</w:t>
      </w:r>
      <w:bookmarkEnd w:id="27"/>
      <w:r w:rsidR="00CD5745">
        <w:rPr>
          <w:rFonts w:asciiTheme="majorBidi" w:eastAsia="Noto Kufi Arabic" w:hAnsiTheme="majorBidi" w:hint="cs"/>
        </w:rPr>
        <w:t xml:space="preserve"> </w:t>
      </w:r>
    </w:p>
    <w:p w14:paraId="36B93006" w14:textId="77777777" w:rsidR="00474D65" w:rsidRPr="00474D65" w:rsidRDefault="00474D65" w:rsidP="00474D65">
      <w:pPr>
        <w:rPr>
          <w:rFonts w:hint="eastAsia"/>
        </w:rPr>
      </w:pPr>
    </w:p>
    <w:p w14:paraId="06275C00" w14:textId="1A2EBF38" w:rsidR="00217BB6" w:rsidRPr="00474D65" w:rsidRDefault="00C81FDB" w:rsidP="00474D65">
      <w:pPr>
        <w:pStyle w:val="Heading2"/>
        <w:spacing w:before="140" w:after="80"/>
        <w:rPr>
          <w:rFonts w:asciiTheme="majorBidi" w:hAnsiTheme="majorBidi"/>
        </w:rPr>
      </w:pPr>
      <w:bookmarkStart w:id="28" w:name="_Toc238548592"/>
      <w:r w:rsidRPr="00474D65">
        <w:rPr>
          <w:rFonts w:asciiTheme="majorBidi" w:eastAsia="Noto Kufi Arabic" w:hAnsiTheme="majorBidi"/>
        </w:rPr>
        <w:t>٥.١</w:t>
      </w:r>
      <w:r w:rsidR="00D123AC">
        <w:rPr>
          <w:rFonts w:asciiTheme="majorBidi" w:eastAsia="Noto Kufi Arabic" w:hAnsiTheme="majorBidi" w:hint="cs"/>
        </w:rPr>
        <w:t xml:space="preserve"> الناحية ال</w:t>
      </w:r>
      <w:r w:rsidR="006C4D67">
        <w:rPr>
          <w:rFonts w:asciiTheme="majorBidi" w:eastAsia="Noto Kufi Arabic" w:hAnsiTheme="majorBidi" w:hint="cs"/>
        </w:rPr>
        <w:t>تقنية</w:t>
      </w:r>
      <w:r w:rsidR="00D123AC">
        <w:rPr>
          <w:rFonts w:asciiTheme="majorBidi" w:eastAsia="Noto Kufi Arabic" w:hAnsiTheme="majorBidi" w:hint="cs"/>
        </w:rPr>
        <w:t xml:space="preserve"> </w:t>
      </w:r>
      <w:r w:rsidR="000C6947">
        <w:rPr>
          <w:rFonts w:asciiTheme="majorBidi" w:eastAsia="Noto Kufi Arabic" w:hAnsiTheme="majorBidi" w:hint="cs"/>
        </w:rPr>
        <w:t>( قابلية التنفيذ )</w:t>
      </w:r>
      <w:bookmarkEnd w:id="28"/>
      <w:r w:rsidR="000C6947">
        <w:rPr>
          <w:rFonts w:asciiTheme="majorBidi" w:eastAsia="Noto Kufi Arabic" w:hAnsiTheme="majorBidi" w:hint="cs"/>
        </w:rPr>
        <w:t xml:space="preserve"> </w:t>
      </w:r>
    </w:p>
    <w:p w14:paraId="58976333" w14:textId="25B2FE85" w:rsidR="00217BB6" w:rsidRPr="00636150" w:rsidRDefault="006C4D67" w:rsidP="00636150">
      <w:pPr>
        <w:pStyle w:val="BodyArabic"/>
        <w:spacing w:after="110" w:line="276" w:lineRule="auto"/>
        <w:jc w:val="both"/>
        <w:rPr>
          <w:rFonts w:asciiTheme="majorBidi" w:hAnsiTheme="majorBidi" w:cstheme="majorBidi"/>
        </w:rPr>
      </w:pPr>
      <w:r>
        <w:rPr>
          <w:rFonts w:asciiTheme="majorBidi" w:eastAsia="Noto Naskh Arabic" w:hAnsiTheme="majorBidi" w:cstheme="majorBidi" w:hint="cs"/>
        </w:rPr>
        <w:t xml:space="preserve">ان الاتجاه التقني </w:t>
      </w:r>
      <w:r w:rsidR="00C81FDB" w:rsidRPr="00474D65">
        <w:rPr>
          <w:rFonts w:asciiTheme="majorBidi" w:eastAsia="Noto Naskh Arabic" w:hAnsiTheme="majorBidi" w:cstheme="majorBidi"/>
        </w:rPr>
        <w:t>لميزان مدعوم بثلاثة أنواع من الأدلة. أولًا، وجود منصات تشغيلية مثل إي باي تعلن استخدام أنظمة لرصد أنماط المزايدة يثبت أن مراقبة السلوك جزء قابل للتطبيق في منصات كبيرة. ثانيًا، الدراسة المحكمة لجيريتسه وفان فيزنبيك طبقت خوارزمية كشف تواطؤ على بيانات منصة تجارية فعلية، ما يثبت إمكان استخراج علاقات ومؤشرات شذوذ من سجلات المزادات، مع ضرورة ضبط توقعات الأداء والدقة (جيريتسه وفان فيزنبيك، 2024). ثالثًا، تقنيات البصمة التشفيرية والسجلات القابلة للتدقيق مبنية على معايير ناضجة: يحدد معيار المعهد الوطني الأمريكي للمعايير والتقنية خوارزميات تجزئة آمنة مثل SHA-256، بينما يوضح RFC 9162 كيف تحقق أشجار ميركل خاصية السجل الإضافي فقط وبراهين الإدراج والاتساق (المعهد الوطني للمعايير والتقنية، 2015؛ محررو RFC، 2021).</w:t>
      </w:r>
    </w:p>
    <w:p w14:paraId="1B41E115" w14:textId="242FD256" w:rsidR="00F74C0E" w:rsidRDefault="00636150" w:rsidP="00474D65">
      <w:pPr>
        <w:pStyle w:val="BodyArabic"/>
        <w:spacing w:after="110" w:line="276" w:lineRule="auto"/>
        <w:jc w:val="both"/>
      </w:pPr>
      <w:r>
        <w:rPr>
          <w:rFonts w:hint="cs"/>
        </w:rPr>
        <w:t xml:space="preserve">وايضا </w:t>
      </w:r>
      <w:r w:rsidR="00F74C0E">
        <w:t>يتماشى الاتجاه المقترح لميزان مع الممارسات السائدة عالميًا في أنظمة كشف الاحتيال، حيث تشير التقارير إلى أن الأنظمة الحديثة قادرة على معالجة أكثر من 75,000 معاملة في الثانية بدقة كشف تصل إلى 94.5% وبتوفر تشغيلي 99.99%، وهو معيار مرجعي مفيد عند تصميم متطلبات الأداء لنظام ميزان، حتى لو كان حجم بيانات إنفاذ الحالي أقل بكثير من هذا النطاق. كما يُلاحظ أن القطاع يتجه نحو خفض نسبة الإيجابيات الكاذبة بنسبة تصل إلى 80% مقارنة بالأنظمة القائمة على قواعد ثابتة، وهو مؤشر يمكن استخدامه كمعيار نجاح لنموذج كشف الشذوذ المقترح في مرحلة الاختبار (آرتيك سليدج، 2026؛ سوفتيود، 2026).</w:t>
      </w:r>
    </w:p>
    <w:p w14:paraId="1A5F02EE" w14:textId="6B180492" w:rsidR="00636150" w:rsidRDefault="00636150" w:rsidP="00474D65">
      <w:pPr>
        <w:pStyle w:val="BodyArabic"/>
        <w:spacing w:after="110" w:line="276" w:lineRule="auto"/>
        <w:jc w:val="both"/>
        <w:rPr>
          <w:rFonts w:asciiTheme="majorBidi" w:eastAsia="Noto Naskh Arabic" w:hAnsiTheme="majorBidi" w:cstheme="majorBidi"/>
        </w:rPr>
      </w:pPr>
      <w:r w:rsidRPr="00474D65">
        <w:rPr>
          <w:rFonts w:asciiTheme="majorBidi" w:eastAsia="Noto Naskh Arabic" w:hAnsiTheme="majorBidi" w:cstheme="majorBidi"/>
        </w:rPr>
        <w:t>عمليًا، يمكن بناء ميزان بطبقات مستقلة: موصل لتدفق أحداث المزاد، خدمة تحليل للمؤشرات وكشف الشذوذ، قاعدة بيانات للأحداث المرمزة، وحدة رسم علاقات، وحدة تحقق تشفيري، ثم لوحة مراجعة. فصل الطبقات يقلل المخاطر؛ إذ يمكن تشغيل ميزان بوضع «قراءة فقط» دون السماح له بالتعديل في محرك المزاد، ثم توسيع التكامل بعد إثبات فائدته وحوكمته</w:t>
      </w:r>
      <w:r>
        <w:rPr>
          <w:rFonts w:asciiTheme="majorBidi" w:eastAsia="Noto Naskh Arabic" w:hAnsiTheme="majorBidi" w:cstheme="majorBidi" w:hint="cs"/>
        </w:rPr>
        <w:t>.</w:t>
      </w:r>
    </w:p>
    <w:p w14:paraId="1CD0B1DD" w14:textId="4B8831CD" w:rsidR="001227A9" w:rsidRDefault="00EC6981" w:rsidP="001227A9">
      <w:pPr>
        <w:pStyle w:val="Heading3"/>
        <w:rPr>
          <w:rFonts w:ascii="Times New Roman" w:hAnsi="Times New Roman"/>
          <w:sz w:val="27"/>
          <w:rtl w:val="0"/>
          <w:cs w:val="0"/>
        </w:rPr>
      </w:pPr>
      <w:r w:rsidRPr="00EC6981">
        <w:rPr>
          <w:rFonts w:asciiTheme="majorBidi" w:eastAsia="Noto Kufi Arabic" w:hAnsiTheme="majorBidi" w:hint="cs"/>
          <w:sz w:val="25"/>
          <w:szCs w:val="26"/>
        </w:rPr>
        <w:t xml:space="preserve"> </w:t>
      </w:r>
      <w:bookmarkStart w:id="29" w:name="_Toc238548593"/>
      <w:r w:rsidRPr="00EC6981">
        <w:rPr>
          <w:rFonts w:asciiTheme="majorBidi" w:eastAsia="Noto Kufi Arabic" w:hAnsiTheme="majorBidi"/>
          <w:sz w:val="25"/>
          <w:szCs w:val="26"/>
        </w:rPr>
        <w:t>٥.٢</w:t>
      </w:r>
      <w:r w:rsidR="001227A9" w:rsidRPr="001227A9">
        <w:rPr>
          <w:rFonts w:asciiTheme="majorBidi" w:eastAsia="Noto Kufi Arabic" w:hAnsiTheme="majorBidi"/>
          <w:sz w:val="25"/>
          <w:szCs w:val="26"/>
          <w:rtl w:val="0"/>
        </w:rPr>
        <w:t xml:space="preserve">الناحية </w:t>
      </w:r>
      <w:r w:rsidR="00D123AC">
        <w:rPr>
          <w:rFonts w:asciiTheme="majorBidi" w:eastAsia="Noto Kufi Arabic" w:hAnsiTheme="majorBidi" w:hint="cs"/>
          <w:sz w:val="25"/>
          <w:szCs w:val="26"/>
        </w:rPr>
        <w:t xml:space="preserve"> ال</w:t>
      </w:r>
      <w:r w:rsidR="006C4D67">
        <w:rPr>
          <w:rFonts w:asciiTheme="majorBidi" w:eastAsia="Noto Kufi Arabic" w:hAnsiTheme="majorBidi" w:hint="cs"/>
          <w:sz w:val="25"/>
          <w:szCs w:val="26"/>
        </w:rPr>
        <w:t>فنية</w:t>
      </w:r>
      <w:r w:rsidR="001A3C6A">
        <w:rPr>
          <w:rFonts w:asciiTheme="majorBidi" w:eastAsia="Noto Kufi Arabic" w:hAnsiTheme="majorBidi" w:hint="cs"/>
          <w:sz w:val="25"/>
          <w:szCs w:val="26"/>
        </w:rPr>
        <w:t xml:space="preserve">  ( خطة التنفيذ )</w:t>
      </w:r>
      <w:bookmarkEnd w:id="29"/>
    </w:p>
    <w:p w14:paraId="0D4420DD" w14:textId="05BF6267" w:rsidR="001227A9" w:rsidRPr="00E35640" w:rsidRDefault="0025689B" w:rsidP="0025689B">
      <w:pPr>
        <w:pStyle w:val="NormalWeb"/>
        <w:bidi/>
        <w:outlineLvl w:val="2"/>
        <w:rPr>
          <w:sz w:val="22"/>
          <w:szCs w:val="22"/>
          <w:rtl/>
        </w:rPr>
      </w:pPr>
      <w:r w:rsidRPr="00E35640">
        <w:rPr>
          <w:rFonts w:asciiTheme="majorBidi" w:eastAsia="Noto Kufi Arabic" w:hAnsiTheme="majorBidi" w:hint="cs"/>
          <w:rtl/>
        </w:rPr>
        <w:t xml:space="preserve"> </w:t>
      </w:r>
      <w:r w:rsidR="00EC6981" w:rsidRPr="00E35640">
        <w:rPr>
          <w:rFonts w:asciiTheme="majorBidi" w:eastAsia="Noto Kufi Arabic" w:hAnsiTheme="majorBidi" w:hint="cs"/>
          <w:sz w:val="22"/>
          <w:szCs w:val="22"/>
          <w:rtl/>
        </w:rPr>
        <w:t xml:space="preserve"> </w:t>
      </w:r>
      <w:r w:rsidR="00E35640">
        <w:rPr>
          <w:rFonts w:asciiTheme="majorBidi" w:eastAsia="Noto Kufi Arabic" w:hAnsiTheme="majorBidi" w:hint="cs"/>
          <w:sz w:val="22"/>
          <w:szCs w:val="22"/>
          <w:rtl/>
        </w:rPr>
        <w:t xml:space="preserve"> </w:t>
      </w:r>
      <w:bookmarkStart w:id="30" w:name="_Toc238548594"/>
      <w:r w:rsidR="001227A9" w:rsidRPr="00E35640">
        <w:rPr>
          <w:rStyle w:val="Strong"/>
          <w:color w:val="31849B" w:themeColor="accent5" w:themeShade="BF"/>
          <w:sz w:val="22"/>
          <w:szCs w:val="22"/>
          <w:rtl/>
        </w:rPr>
        <w:t>البنية المقترحة</w:t>
      </w:r>
      <w:bookmarkEnd w:id="30"/>
      <w:r w:rsidR="001227A9" w:rsidRPr="00E35640">
        <w:rPr>
          <w:rStyle w:val="Strong"/>
          <w:color w:val="31849B" w:themeColor="accent5" w:themeShade="BF"/>
          <w:sz w:val="22"/>
          <w:szCs w:val="22"/>
          <w:rtl/>
        </w:rPr>
        <w:t xml:space="preserve"> </w:t>
      </w:r>
    </w:p>
    <w:p w14:paraId="09AD6CE5" w14:textId="77777777" w:rsidR="001227A9" w:rsidRPr="00DE69E2" w:rsidRDefault="001227A9" w:rsidP="001227A9">
      <w:pPr>
        <w:pStyle w:val="NormalWeb"/>
        <w:bidi/>
        <w:rPr>
          <w:rFonts w:asciiTheme="majorBidi" w:eastAsia="Noto Naskh Arabic" w:hAnsiTheme="majorBidi" w:cstheme="majorBidi"/>
          <w:color w:val="142536"/>
          <w:sz w:val="23"/>
          <w:szCs w:val="22"/>
          <w:rtl/>
        </w:rPr>
      </w:pPr>
      <w:r w:rsidRPr="00DE69E2">
        <w:rPr>
          <w:rFonts w:asciiTheme="majorBidi" w:eastAsia="Noto Naskh Arabic" w:hAnsiTheme="majorBidi" w:cstheme="majorBidi"/>
          <w:color w:val="142536"/>
          <w:sz w:val="23"/>
          <w:szCs w:val="22"/>
          <w:rtl/>
        </w:rPr>
        <w:t>يُبنى ميزان على أربع طبقات متتابعة:</w:t>
      </w:r>
    </w:p>
    <w:p w14:paraId="5D373FEB" w14:textId="3D9E8707"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Pr>
          <w:rtl/>
        </w:rPr>
        <w:t>١</w:t>
      </w:r>
      <w:r w:rsidRPr="00DE69E2">
        <w:rPr>
          <w:rFonts w:ascii="Noto Naskh Arabic" w:eastAsiaTheme="minorEastAsia" w:hAnsi="Noto Naskh Arabic" w:cstheme="minorBidi"/>
          <w:b/>
          <w:bCs/>
          <w:color w:val="142536"/>
          <w:sz w:val="23"/>
          <w:szCs w:val="22"/>
          <w:rtl/>
        </w:rPr>
        <w:t>. طبقة الاستيعاب:</w:t>
      </w:r>
      <w:r w:rsidRPr="00DE69E2">
        <w:rPr>
          <w:rFonts w:ascii="Noto Naskh Arabic" w:eastAsiaTheme="minorEastAsia" w:hAnsi="Noto Naskh Arabic" w:cstheme="minorBidi"/>
          <w:color w:val="142536"/>
          <w:sz w:val="23"/>
          <w:szCs w:val="22"/>
          <w:rtl/>
        </w:rPr>
        <w:t xml:space="preserve"> موصل  يستقبل أحداث المزاد لحظيًا من منصة إنفاذ (تسجيل مزايدة، تعديل سعر، انسحاب مزايد)، إما عبر </w:t>
      </w:r>
      <w:r w:rsidRPr="00DE69E2">
        <w:rPr>
          <w:rFonts w:ascii="Noto Naskh Arabic" w:eastAsiaTheme="minorEastAsia" w:hAnsi="Noto Naskh Arabic" w:cstheme="minorBidi"/>
          <w:color w:val="142536"/>
          <w:sz w:val="23"/>
          <w:szCs w:val="22"/>
        </w:rPr>
        <w:t>Webhook</w:t>
      </w:r>
      <w:r w:rsidRPr="00DE69E2">
        <w:rPr>
          <w:rFonts w:ascii="Noto Naskh Arabic" w:eastAsiaTheme="minorEastAsia" w:hAnsi="Noto Naskh Arabic" w:cstheme="minorBidi"/>
          <w:color w:val="142536"/>
          <w:sz w:val="23"/>
          <w:szCs w:val="22"/>
          <w:rtl/>
        </w:rPr>
        <w:t xml:space="preserve"> أو عبر قراءة دورية من قاعدة البيانات المشتركة حسب ما تسمح به بنية إنفاذ الحالية.</w:t>
      </w:r>
    </w:p>
    <w:p w14:paraId="2B9BF316" w14:textId="5B15F590"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color w:val="142536"/>
          <w:sz w:val="23"/>
          <w:szCs w:val="22"/>
          <w:rtl/>
        </w:rPr>
        <w:t>٢</w:t>
      </w:r>
      <w:r w:rsidRPr="00DE69E2">
        <w:rPr>
          <w:rFonts w:ascii="Noto Naskh Arabic" w:eastAsiaTheme="minorEastAsia" w:hAnsi="Noto Naskh Arabic" w:cstheme="minorBidi"/>
          <w:b/>
          <w:bCs/>
          <w:color w:val="142536"/>
          <w:sz w:val="23"/>
          <w:szCs w:val="22"/>
          <w:rtl/>
        </w:rPr>
        <w:t>. طبقة التحليل:</w:t>
      </w:r>
      <w:r w:rsidRPr="00DE69E2">
        <w:rPr>
          <w:rFonts w:ascii="Noto Naskh Arabic" w:eastAsiaTheme="minorEastAsia" w:hAnsi="Noto Naskh Arabic" w:cstheme="minorBidi"/>
          <w:color w:val="142536"/>
          <w:sz w:val="23"/>
          <w:szCs w:val="22"/>
          <w:rtl/>
        </w:rPr>
        <w:t xml:space="preserve"> خدمة تشغّل نموذج </w:t>
      </w:r>
      <w:r w:rsidRPr="00DE69E2">
        <w:rPr>
          <w:rFonts w:ascii="Noto Naskh Arabic" w:eastAsiaTheme="minorEastAsia" w:hAnsi="Noto Naskh Arabic" w:cstheme="minorBidi"/>
          <w:color w:val="142536"/>
          <w:sz w:val="23"/>
          <w:szCs w:val="22"/>
        </w:rPr>
        <w:t>Isolation Forest</w:t>
      </w:r>
      <w:r w:rsidRPr="00DE69E2">
        <w:rPr>
          <w:rFonts w:ascii="Noto Naskh Arabic" w:eastAsiaTheme="minorEastAsia" w:hAnsi="Noto Naskh Arabic" w:cstheme="minorBidi"/>
          <w:color w:val="142536"/>
          <w:sz w:val="23"/>
          <w:szCs w:val="22"/>
          <w:rtl/>
        </w:rPr>
        <w:t xml:space="preserve"> على البيانات الواردة لحظيًا، وتُخرج درجة شذوذ (</w:t>
      </w:r>
      <w:r w:rsidRPr="00DE69E2">
        <w:rPr>
          <w:rFonts w:ascii="Noto Naskh Arabic" w:eastAsiaTheme="minorEastAsia" w:hAnsi="Noto Naskh Arabic" w:cstheme="minorBidi"/>
          <w:color w:val="142536"/>
          <w:sz w:val="23"/>
          <w:szCs w:val="22"/>
        </w:rPr>
        <w:t>Anomaly Score</w:t>
      </w:r>
      <w:r w:rsidRPr="00DE69E2">
        <w:rPr>
          <w:rFonts w:ascii="Noto Naskh Arabic" w:eastAsiaTheme="minorEastAsia" w:hAnsi="Noto Naskh Arabic" w:cstheme="minorBidi"/>
          <w:color w:val="142536"/>
          <w:sz w:val="23"/>
          <w:szCs w:val="22"/>
          <w:rtl/>
        </w:rPr>
        <w:t>) لكل مزايد أو نمط مزايدة.</w:t>
      </w:r>
    </w:p>
    <w:p w14:paraId="18C96F3B" w14:textId="5139AAE3"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color w:val="142536"/>
          <w:sz w:val="23"/>
          <w:szCs w:val="22"/>
          <w:rtl/>
        </w:rPr>
        <w:t>٣</w:t>
      </w:r>
      <w:r w:rsidRPr="00DE69E2">
        <w:rPr>
          <w:rFonts w:ascii="Noto Naskh Arabic" w:eastAsiaTheme="minorEastAsia" w:hAnsi="Noto Naskh Arabic" w:cstheme="minorBidi"/>
          <w:b/>
          <w:bCs/>
          <w:color w:val="142536"/>
          <w:sz w:val="23"/>
          <w:szCs w:val="22"/>
          <w:rtl/>
        </w:rPr>
        <w:t>. طبقة التخزين والتحقق:</w:t>
      </w:r>
      <w:r w:rsidRPr="00DE69E2">
        <w:rPr>
          <w:rFonts w:ascii="Noto Naskh Arabic" w:eastAsiaTheme="minorEastAsia" w:hAnsi="Noto Naskh Arabic" w:cstheme="minorBidi"/>
          <w:color w:val="142536"/>
          <w:sz w:val="23"/>
          <w:szCs w:val="22"/>
          <w:rtl/>
        </w:rPr>
        <w:t xml:space="preserve"> قاعدة بيانات لتخزين الأحداث التاريخية، إضافة إلى آلية تجزئة (</w:t>
      </w:r>
      <w:r w:rsidRPr="00DE69E2">
        <w:rPr>
          <w:rFonts w:ascii="Noto Naskh Arabic" w:eastAsiaTheme="minorEastAsia" w:hAnsi="Noto Naskh Arabic" w:cstheme="minorBidi"/>
          <w:color w:val="142536"/>
          <w:sz w:val="23"/>
          <w:szCs w:val="22"/>
        </w:rPr>
        <w:t>Hashing</w:t>
      </w:r>
      <w:r w:rsidRPr="00DE69E2">
        <w:rPr>
          <w:rFonts w:ascii="Noto Naskh Arabic" w:eastAsiaTheme="minorEastAsia" w:hAnsi="Noto Naskh Arabic" w:cstheme="minorBidi"/>
          <w:color w:val="142536"/>
          <w:sz w:val="23"/>
          <w:szCs w:val="22"/>
          <w:rtl/>
        </w:rPr>
        <w:t>) للسجل تضمن عدم التلاعب به بعد وقوعه.</w:t>
      </w:r>
    </w:p>
    <w:p w14:paraId="432928F4" w14:textId="6E31E177" w:rsidR="00124C75"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color w:val="142536"/>
          <w:sz w:val="23"/>
          <w:szCs w:val="22"/>
          <w:rtl/>
        </w:rPr>
        <w:t xml:space="preserve">٤. </w:t>
      </w:r>
      <w:r w:rsidRPr="00DE69E2">
        <w:rPr>
          <w:rFonts w:ascii="Noto Naskh Arabic" w:eastAsiaTheme="minorEastAsia" w:hAnsi="Noto Naskh Arabic" w:cstheme="minorBidi"/>
          <w:b/>
          <w:bCs/>
          <w:color w:val="142536"/>
          <w:sz w:val="23"/>
          <w:szCs w:val="22"/>
          <w:rtl/>
        </w:rPr>
        <w:t>طبقة العرض:</w:t>
      </w:r>
      <w:r w:rsidRPr="00DE69E2">
        <w:rPr>
          <w:rFonts w:ascii="Noto Naskh Arabic" w:eastAsiaTheme="minorEastAsia" w:hAnsi="Noto Naskh Arabic" w:cstheme="minorBidi"/>
          <w:color w:val="142536"/>
          <w:sz w:val="23"/>
          <w:szCs w:val="22"/>
          <w:rtl/>
        </w:rPr>
        <w:t xml:space="preserve"> لوحة تعرض للمراجع البشري التنبيه، سبب حدوثه، والعلاقات بين المزايدين المشتبه بهم بشكل بصري.</w:t>
      </w:r>
    </w:p>
    <w:p w14:paraId="0AA3775A" w14:textId="3C265CC9" w:rsidR="00B214F3" w:rsidRDefault="00B214F3" w:rsidP="00B214F3">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p>
    <w:p w14:paraId="26C2617D" w14:textId="77777777" w:rsidR="00B214F3" w:rsidRDefault="00B214F3" w:rsidP="00B214F3">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p>
    <w:p w14:paraId="018A2D94" w14:textId="4D7965BC" w:rsidR="00B214F3" w:rsidRPr="00E35640" w:rsidRDefault="00E35640" w:rsidP="00B214F3">
      <w:pPr>
        <w:pStyle w:val="NormalWeb"/>
        <w:bidi/>
        <w:outlineLvl w:val="2"/>
        <w:rPr>
          <w:rFonts w:asciiTheme="majorBidi" w:eastAsia="Noto Kufi Arabic" w:hAnsiTheme="majorBidi"/>
          <w:b/>
          <w:bCs/>
          <w:color w:val="31849B" w:themeColor="accent5" w:themeShade="BF"/>
          <w:sz w:val="22"/>
          <w:szCs w:val="22"/>
          <w:rtl/>
        </w:rPr>
      </w:pPr>
      <w:r>
        <w:rPr>
          <w:rFonts w:asciiTheme="majorBidi" w:eastAsia="Noto Kufi Arabic" w:hAnsiTheme="majorBidi" w:hint="cs"/>
          <w:b/>
          <w:bCs/>
          <w:color w:val="31849B" w:themeColor="accent5" w:themeShade="BF"/>
          <w:sz w:val="22"/>
          <w:szCs w:val="22"/>
          <w:rtl/>
        </w:rPr>
        <w:t xml:space="preserve">   </w:t>
      </w:r>
      <w:bookmarkStart w:id="31" w:name="_Toc238548595"/>
      <w:r w:rsidR="001227A9" w:rsidRPr="00E35640">
        <w:rPr>
          <w:rFonts w:asciiTheme="majorBidi" w:eastAsia="Noto Kufi Arabic" w:hAnsiTheme="majorBidi"/>
          <w:b/>
          <w:bCs/>
          <w:color w:val="31849B" w:themeColor="accent5" w:themeShade="BF"/>
          <w:sz w:val="22"/>
          <w:szCs w:val="22"/>
          <w:rtl/>
        </w:rPr>
        <w:t>الأدوات المقترحة</w:t>
      </w:r>
      <w:bookmarkEnd w:id="31"/>
      <w:r w:rsidR="001227A9" w:rsidRPr="00E35640">
        <w:rPr>
          <w:rFonts w:asciiTheme="majorBidi" w:eastAsia="Noto Kufi Arabic" w:hAnsiTheme="majorBidi"/>
          <w:b/>
          <w:bCs/>
          <w:color w:val="31849B" w:themeColor="accent5" w:themeShade="BF"/>
          <w:sz w:val="22"/>
          <w:szCs w:val="22"/>
          <w:rtl/>
        </w:rPr>
        <w:t xml:space="preserve"> </w:t>
      </w:r>
    </w:p>
    <w:p w14:paraId="483BCA40" w14:textId="62A76444"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النموذج:</w:t>
      </w:r>
      <w:r w:rsidRPr="00DE69E2">
        <w:rPr>
          <w:rFonts w:ascii="Noto Naskh Arabic" w:eastAsiaTheme="minorEastAsia" w:hAnsi="Noto Naskh Arabic" w:cstheme="minorBidi"/>
          <w:color w:val="142536"/>
          <w:sz w:val="23"/>
          <w:szCs w:val="22"/>
          <w:rtl/>
        </w:rPr>
        <w:t xml:space="preserve"> </w:t>
      </w:r>
      <w:r w:rsidRPr="00DE69E2">
        <w:rPr>
          <w:rFonts w:ascii="Noto Naskh Arabic" w:eastAsiaTheme="minorEastAsia" w:hAnsi="Noto Naskh Arabic" w:cstheme="minorBidi"/>
          <w:color w:val="142536"/>
          <w:sz w:val="23"/>
          <w:szCs w:val="22"/>
        </w:rPr>
        <w:t xml:space="preserve">Python + </w:t>
      </w:r>
      <w:proofErr w:type="spellStart"/>
      <w:r w:rsidRPr="00DE69E2">
        <w:rPr>
          <w:rFonts w:ascii="Noto Naskh Arabic" w:eastAsiaTheme="minorEastAsia" w:hAnsi="Noto Naskh Arabic" w:cstheme="minorBidi"/>
          <w:color w:val="142536"/>
          <w:sz w:val="23"/>
          <w:szCs w:val="22"/>
        </w:rPr>
        <w:t>Scikit</w:t>
      </w:r>
      <w:proofErr w:type="spellEnd"/>
      <w:r w:rsidRPr="00DE69E2">
        <w:rPr>
          <w:rFonts w:ascii="Noto Naskh Arabic" w:eastAsiaTheme="minorEastAsia" w:hAnsi="Noto Naskh Arabic" w:cstheme="minorBidi"/>
          <w:color w:val="142536"/>
          <w:sz w:val="23"/>
          <w:szCs w:val="22"/>
        </w:rPr>
        <w:t>-learn (Isolation Forest)</w:t>
      </w:r>
      <w:r w:rsidRPr="00DE69E2">
        <w:rPr>
          <w:rFonts w:ascii="Noto Naskh Arabic" w:eastAsiaTheme="minorEastAsia" w:hAnsi="Noto Naskh Arabic" w:cstheme="minorBidi"/>
          <w:color w:val="142536"/>
          <w:sz w:val="23"/>
          <w:szCs w:val="22"/>
          <w:rtl/>
        </w:rPr>
        <w:t xml:space="preserve"> نفس البيئة المستخدمة بالدراسات المرجعية، مع دعم واسع وتوثيق جيد.</w:t>
      </w:r>
    </w:p>
    <w:p w14:paraId="38CADE67" w14:textId="56574F7E"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 xml:space="preserve">المعالجة اللحظية: </w:t>
      </w:r>
      <w:r w:rsidRPr="00DE69E2">
        <w:rPr>
          <w:rFonts w:ascii="Noto Naskh Arabic" w:eastAsiaTheme="minorEastAsia" w:hAnsi="Noto Naskh Arabic" w:cstheme="minorBidi"/>
          <w:color w:val="142536"/>
          <w:sz w:val="23"/>
          <w:szCs w:val="22"/>
        </w:rPr>
        <w:t>Online Isolation Forest</w:t>
      </w:r>
      <w:r w:rsidRPr="00DE69E2">
        <w:rPr>
          <w:rFonts w:ascii="Noto Naskh Arabic" w:eastAsiaTheme="minorEastAsia" w:hAnsi="Noto Naskh Arabic" w:cstheme="minorBidi"/>
          <w:color w:val="142536"/>
          <w:sz w:val="23"/>
          <w:szCs w:val="22"/>
          <w:rtl/>
        </w:rPr>
        <w:t>، أو معالجة دفعية قصيرة كل بضع دقائق يلائم طبيعة أحداث المزاد المتجددة.</w:t>
      </w:r>
    </w:p>
    <w:p w14:paraId="59C2F77F" w14:textId="6E916C70"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قاعدة البيانات:</w:t>
      </w:r>
      <w:r w:rsidRPr="00DE69E2">
        <w:rPr>
          <w:rFonts w:ascii="Noto Naskh Arabic" w:eastAsiaTheme="minorEastAsia" w:hAnsi="Noto Naskh Arabic" w:cstheme="minorBidi"/>
          <w:color w:val="142536"/>
          <w:sz w:val="23"/>
          <w:szCs w:val="22"/>
          <w:rtl/>
        </w:rPr>
        <w:t xml:space="preserve"> قاعدة علائقية (</w:t>
      </w:r>
      <w:r w:rsidRPr="00DE69E2">
        <w:rPr>
          <w:rFonts w:ascii="Noto Naskh Arabic" w:eastAsiaTheme="minorEastAsia" w:hAnsi="Noto Naskh Arabic" w:cstheme="minorBidi"/>
          <w:color w:val="142536"/>
          <w:sz w:val="23"/>
          <w:szCs w:val="22"/>
        </w:rPr>
        <w:t>PostgreSQL</w:t>
      </w:r>
      <w:r w:rsidRPr="00DE69E2">
        <w:rPr>
          <w:rFonts w:ascii="Noto Naskh Arabic" w:eastAsiaTheme="minorEastAsia" w:hAnsi="Noto Naskh Arabic" w:cstheme="minorBidi"/>
          <w:color w:val="142536"/>
          <w:sz w:val="23"/>
          <w:szCs w:val="22"/>
          <w:rtl/>
        </w:rPr>
        <w:t>) أو ما يتوافق مع بنية إنفاذ الحالية  لسهولة التكامل دون إعادة بناء المنصة.</w:t>
      </w:r>
    </w:p>
    <w:p w14:paraId="279DBA6D" w14:textId="5BF9F275"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التحقق من السجل:</w:t>
      </w:r>
      <w:r w:rsidRPr="00DE69E2">
        <w:rPr>
          <w:rFonts w:ascii="Noto Naskh Arabic" w:eastAsiaTheme="minorEastAsia" w:hAnsi="Noto Naskh Arabic" w:cstheme="minorBidi"/>
          <w:color w:val="142536"/>
          <w:sz w:val="23"/>
          <w:szCs w:val="22"/>
          <w:rtl/>
        </w:rPr>
        <w:t xml:space="preserve"> تجزئة تسلسلية (</w:t>
      </w:r>
      <w:r w:rsidRPr="00DE69E2">
        <w:rPr>
          <w:rFonts w:ascii="Noto Naskh Arabic" w:eastAsiaTheme="minorEastAsia" w:hAnsi="Noto Naskh Arabic" w:cstheme="minorBidi"/>
          <w:color w:val="142536"/>
          <w:sz w:val="23"/>
          <w:szCs w:val="22"/>
        </w:rPr>
        <w:t>Hash Chaining</w:t>
      </w:r>
      <w:r w:rsidRPr="00DE69E2">
        <w:rPr>
          <w:rFonts w:ascii="Noto Naskh Arabic" w:eastAsiaTheme="minorEastAsia" w:hAnsi="Noto Naskh Arabic" w:cstheme="minorBidi"/>
          <w:color w:val="142536"/>
          <w:sz w:val="23"/>
          <w:szCs w:val="22"/>
          <w:rtl/>
        </w:rPr>
        <w:t xml:space="preserve">) بمعيار </w:t>
      </w:r>
      <w:r w:rsidRPr="00DE69E2">
        <w:rPr>
          <w:rFonts w:ascii="Noto Naskh Arabic" w:eastAsiaTheme="minorEastAsia" w:hAnsi="Noto Naskh Arabic" w:cstheme="minorBidi"/>
          <w:color w:val="142536"/>
          <w:sz w:val="23"/>
          <w:szCs w:val="22"/>
        </w:rPr>
        <w:t>SHA-256</w:t>
      </w:r>
      <w:r w:rsidRPr="00DE69E2">
        <w:rPr>
          <w:rFonts w:ascii="Noto Naskh Arabic" w:eastAsiaTheme="minorEastAsia" w:hAnsi="Noto Naskh Arabic" w:cstheme="minorBidi"/>
          <w:color w:val="142536"/>
          <w:sz w:val="23"/>
          <w:szCs w:val="22"/>
          <w:rtl/>
        </w:rPr>
        <w:t xml:space="preserve">  متوافق مع ما هو موثّق أصلًا بمراجع الدراسة (</w:t>
      </w:r>
      <w:r w:rsidRPr="00DE69E2">
        <w:rPr>
          <w:rFonts w:ascii="Noto Naskh Arabic" w:eastAsiaTheme="minorEastAsia" w:hAnsi="Noto Naskh Arabic" w:cstheme="minorBidi"/>
          <w:color w:val="142536"/>
          <w:sz w:val="23"/>
          <w:szCs w:val="22"/>
        </w:rPr>
        <w:t>FIPS 180-4</w:t>
      </w:r>
      <w:r w:rsidRPr="00DE69E2">
        <w:rPr>
          <w:rFonts w:ascii="Noto Naskh Arabic" w:eastAsiaTheme="minorEastAsia" w:hAnsi="Noto Naskh Arabic" w:cstheme="minorBidi"/>
          <w:color w:val="142536"/>
          <w:sz w:val="23"/>
          <w:szCs w:val="22"/>
          <w:rtl/>
        </w:rPr>
        <w:t>).</w:t>
      </w:r>
    </w:p>
    <w:p w14:paraId="2C32116A" w14:textId="4ABE789E" w:rsidR="0025689B"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اللوحة:</w:t>
      </w:r>
      <w:r w:rsidRPr="00DE69E2">
        <w:rPr>
          <w:rFonts w:ascii="Noto Naskh Arabic" w:eastAsiaTheme="minorEastAsia" w:hAnsi="Noto Naskh Arabic" w:cstheme="minorBidi"/>
          <w:color w:val="142536"/>
          <w:sz w:val="23"/>
          <w:szCs w:val="22"/>
          <w:rtl/>
        </w:rPr>
        <w:t xml:space="preserve"> تطبيق ويب بسيط (</w:t>
      </w:r>
      <w:r w:rsidRPr="00DE69E2">
        <w:rPr>
          <w:rFonts w:ascii="Noto Naskh Arabic" w:eastAsiaTheme="minorEastAsia" w:hAnsi="Noto Naskh Arabic" w:cstheme="minorBidi"/>
          <w:color w:val="142536"/>
          <w:sz w:val="23"/>
          <w:szCs w:val="22"/>
        </w:rPr>
        <w:t>React</w:t>
      </w:r>
      <w:r w:rsidRPr="00DE69E2">
        <w:rPr>
          <w:rFonts w:ascii="Noto Naskh Arabic" w:eastAsiaTheme="minorEastAsia" w:hAnsi="Noto Naskh Arabic" w:cstheme="minorBidi"/>
          <w:color w:val="142536"/>
          <w:sz w:val="23"/>
          <w:szCs w:val="22"/>
          <w:rtl/>
        </w:rPr>
        <w:t xml:space="preserve"> أو ما يماثله)  لعرض بصري للمراجع دون تعقيد إضافي.</w:t>
      </w:r>
    </w:p>
    <w:p w14:paraId="1817EE32" w14:textId="0DBF85ED" w:rsidR="001227A9" w:rsidRPr="00E35640" w:rsidRDefault="0025689B" w:rsidP="0025689B">
      <w:pPr>
        <w:pStyle w:val="NormalWeb"/>
        <w:bidi/>
        <w:outlineLvl w:val="2"/>
        <w:rPr>
          <w:rFonts w:asciiTheme="majorBidi" w:eastAsia="Noto Kufi Arabic" w:hAnsiTheme="majorBidi"/>
          <w:b/>
          <w:bCs/>
          <w:color w:val="31849B" w:themeColor="accent5" w:themeShade="BF"/>
          <w:sz w:val="22"/>
          <w:szCs w:val="22"/>
          <w:rtl/>
        </w:rPr>
      </w:pPr>
      <w:r w:rsidRPr="00E35640">
        <w:rPr>
          <w:rFonts w:asciiTheme="majorBidi" w:eastAsia="Noto Kufi Arabic" w:hAnsiTheme="majorBidi" w:hint="cs"/>
          <w:b/>
          <w:bCs/>
          <w:color w:val="31849B" w:themeColor="accent5" w:themeShade="BF"/>
          <w:sz w:val="20"/>
          <w:szCs w:val="20"/>
          <w:rtl/>
        </w:rPr>
        <w:t xml:space="preserve">    </w:t>
      </w:r>
      <w:bookmarkStart w:id="32" w:name="_Toc238548596"/>
      <w:r w:rsidR="001227A9" w:rsidRPr="00E35640">
        <w:rPr>
          <w:rFonts w:asciiTheme="majorBidi" w:eastAsia="Noto Kufi Arabic" w:hAnsiTheme="majorBidi"/>
          <w:b/>
          <w:bCs/>
          <w:color w:val="31849B" w:themeColor="accent5" w:themeShade="BF"/>
          <w:sz w:val="22"/>
          <w:szCs w:val="22"/>
          <w:rtl/>
        </w:rPr>
        <w:t>خطوات التنفيذ الفعلي</w:t>
      </w:r>
      <w:bookmarkEnd w:id="32"/>
      <w:r w:rsidR="001227A9" w:rsidRPr="00E35640">
        <w:rPr>
          <w:rFonts w:asciiTheme="majorBidi" w:eastAsia="Noto Kufi Arabic" w:hAnsiTheme="majorBidi"/>
          <w:b/>
          <w:bCs/>
          <w:color w:val="31849B" w:themeColor="accent5" w:themeShade="BF"/>
          <w:sz w:val="22"/>
          <w:szCs w:val="22"/>
          <w:rtl/>
        </w:rPr>
        <w:t xml:space="preserve"> </w:t>
      </w:r>
    </w:p>
    <w:p w14:paraId="6919BC2B" w14:textId="77777777"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المرحلة الأولى (شهر ١-٢):</w:t>
      </w:r>
      <w:r w:rsidRPr="00DE69E2">
        <w:rPr>
          <w:rFonts w:ascii="Noto Naskh Arabic" w:eastAsiaTheme="minorEastAsia" w:hAnsi="Noto Naskh Arabic" w:cstheme="minorBidi"/>
          <w:color w:val="142536"/>
          <w:sz w:val="23"/>
          <w:szCs w:val="22"/>
          <w:rtl/>
        </w:rPr>
        <w:t xml:space="preserve"> جمع عينة من بيانات إنفاذ التاريخية (بدون بيانات شخصية حساسة، حسب ضوابط سدايا)، وبناء نموذج أولي غير متصل (</w:t>
      </w:r>
      <w:r w:rsidRPr="00DE69E2">
        <w:rPr>
          <w:rFonts w:ascii="Noto Naskh Arabic" w:eastAsiaTheme="minorEastAsia" w:hAnsi="Noto Naskh Arabic" w:cstheme="minorBidi"/>
          <w:color w:val="142536"/>
          <w:sz w:val="23"/>
          <w:szCs w:val="22"/>
        </w:rPr>
        <w:t>Offline</w:t>
      </w:r>
      <w:r w:rsidRPr="00DE69E2">
        <w:rPr>
          <w:rFonts w:ascii="Noto Naskh Arabic" w:eastAsiaTheme="minorEastAsia" w:hAnsi="Noto Naskh Arabic" w:cstheme="minorBidi"/>
          <w:color w:val="142536"/>
          <w:sz w:val="23"/>
          <w:szCs w:val="22"/>
          <w:rtl/>
        </w:rPr>
        <w:t>) لاختبار الدقة.</w:t>
      </w:r>
    </w:p>
    <w:p w14:paraId="1B54ACD1" w14:textId="77777777"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المرحلة الثانية (شهر ٣-٤):</w:t>
      </w:r>
      <w:r w:rsidRPr="00DE69E2">
        <w:rPr>
          <w:rFonts w:ascii="Noto Naskh Arabic" w:eastAsiaTheme="minorEastAsia" w:hAnsi="Noto Naskh Arabic" w:cstheme="minorBidi"/>
          <w:color w:val="142536"/>
          <w:sz w:val="23"/>
          <w:szCs w:val="22"/>
          <w:rtl/>
        </w:rPr>
        <w:t xml:space="preserve"> ربط النموذج بتدفق أحداث حي (</w:t>
      </w:r>
      <w:r w:rsidRPr="00DE69E2">
        <w:rPr>
          <w:rFonts w:ascii="Noto Naskh Arabic" w:eastAsiaTheme="minorEastAsia" w:hAnsi="Noto Naskh Arabic" w:cstheme="minorBidi"/>
          <w:color w:val="142536"/>
          <w:sz w:val="23"/>
          <w:szCs w:val="22"/>
        </w:rPr>
        <w:t>Live Feed</w:t>
      </w:r>
      <w:r w:rsidRPr="00DE69E2">
        <w:rPr>
          <w:rFonts w:ascii="Noto Naskh Arabic" w:eastAsiaTheme="minorEastAsia" w:hAnsi="Noto Naskh Arabic" w:cstheme="minorBidi"/>
          <w:color w:val="142536"/>
          <w:sz w:val="23"/>
          <w:szCs w:val="22"/>
          <w:rtl/>
        </w:rPr>
        <w:t>) من منصة إنفاذ عبر بيئة اختبار منفصلة (</w:t>
      </w:r>
      <w:r w:rsidRPr="00DE69E2">
        <w:rPr>
          <w:rFonts w:ascii="Noto Naskh Arabic" w:eastAsiaTheme="minorEastAsia" w:hAnsi="Noto Naskh Arabic" w:cstheme="minorBidi"/>
          <w:color w:val="142536"/>
          <w:sz w:val="23"/>
          <w:szCs w:val="22"/>
        </w:rPr>
        <w:t>Sandbox</w:t>
      </w:r>
      <w:r w:rsidRPr="00DE69E2">
        <w:rPr>
          <w:rFonts w:ascii="Noto Naskh Arabic" w:eastAsiaTheme="minorEastAsia" w:hAnsi="Noto Naskh Arabic" w:cstheme="minorBidi"/>
          <w:color w:val="142536"/>
          <w:sz w:val="23"/>
          <w:szCs w:val="22"/>
          <w:rtl/>
        </w:rPr>
        <w:t>) دون التأثير على المزادات الفعلية.</w:t>
      </w:r>
    </w:p>
    <w:p w14:paraId="1A7696AF" w14:textId="77777777" w:rsidR="001227A9" w:rsidRPr="00DE69E2" w:rsidRDefault="001227A9" w:rsidP="007B0A6F">
      <w:pPr>
        <w:pStyle w:val="NormalWeb"/>
        <w:bidi/>
        <w:spacing w:before="0" w:beforeAutospacing="0" w:after="0" w:afterAutospacing="0" w:line="276" w:lineRule="auto"/>
        <w:rPr>
          <w:rFonts w:ascii="Noto Naskh Arabic" w:eastAsiaTheme="minorEastAsia" w:hAnsi="Noto Naskh Arabic" w:cstheme="minorBidi"/>
          <w:color w:val="142536"/>
          <w:sz w:val="23"/>
          <w:szCs w:val="22"/>
          <w:rtl/>
        </w:rPr>
      </w:pPr>
      <w:r w:rsidRPr="00DE69E2">
        <w:rPr>
          <w:rFonts w:ascii="Noto Naskh Arabic" w:eastAsiaTheme="minorEastAsia" w:hAnsi="Noto Naskh Arabic" w:cstheme="minorBidi"/>
          <w:b/>
          <w:bCs/>
          <w:color w:val="142536"/>
          <w:sz w:val="23"/>
          <w:szCs w:val="22"/>
          <w:rtl/>
        </w:rPr>
        <w:t>المرحلة الثالثة (شهر ٥-٦):</w:t>
      </w:r>
      <w:r w:rsidRPr="00DE69E2">
        <w:rPr>
          <w:rFonts w:ascii="Noto Naskh Arabic" w:eastAsiaTheme="minorEastAsia" w:hAnsi="Noto Naskh Arabic" w:cstheme="minorBidi"/>
          <w:color w:val="142536"/>
          <w:sz w:val="23"/>
          <w:szCs w:val="22"/>
          <w:rtl/>
        </w:rPr>
        <w:t xml:space="preserve"> بناء لوحة المراجع الأولية وآلية التحقق من السجل، واختبارها مع فريق مراجعين حقيقي.</w:t>
      </w:r>
    </w:p>
    <w:p w14:paraId="4794711C" w14:textId="596BBF3E" w:rsidR="00474D65" w:rsidRPr="00CD5745" w:rsidRDefault="001227A9" w:rsidP="00CD5745">
      <w:pPr>
        <w:pStyle w:val="NormalWeb"/>
        <w:bidi/>
        <w:spacing w:before="0" w:beforeAutospacing="0" w:after="0" w:afterAutospacing="0" w:line="276" w:lineRule="auto"/>
      </w:pPr>
      <w:r w:rsidRPr="00DE69E2">
        <w:rPr>
          <w:rFonts w:ascii="Noto Naskh Arabic" w:eastAsiaTheme="minorEastAsia" w:hAnsi="Noto Naskh Arabic" w:cstheme="minorBidi"/>
          <w:color w:val="142536"/>
          <w:sz w:val="23"/>
          <w:szCs w:val="22"/>
          <w:rtl/>
        </w:rPr>
        <w:t>المرحلة الرابعة: تقييم الأداء مقابل معايير النجاح (دقة، حساسية، زمن استجابة)، ثم قرار التوسع أو التعديل</w:t>
      </w:r>
      <w:r>
        <w:rPr>
          <w:rtl/>
        </w:rPr>
        <w:t>.</w:t>
      </w:r>
    </w:p>
    <w:p w14:paraId="42C57AE9" w14:textId="22DF85F7" w:rsidR="00217BB6" w:rsidRPr="00474D65" w:rsidRDefault="007B0A6F" w:rsidP="00474D65">
      <w:pPr>
        <w:pStyle w:val="Heading2"/>
        <w:spacing w:before="140" w:after="80"/>
        <w:rPr>
          <w:rFonts w:asciiTheme="majorBidi" w:hAnsiTheme="majorBidi"/>
        </w:rPr>
      </w:pPr>
      <w:bookmarkStart w:id="33" w:name="_Toc238548597"/>
      <w:r w:rsidRPr="00474D65">
        <w:rPr>
          <w:rFonts w:asciiTheme="majorBidi" w:eastAsia="Noto Kufi Arabic" w:hAnsiTheme="majorBidi"/>
        </w:rPr>
        <w:t>٥.٣</w:t>
      </w:r>
      <w:r>
        <w:rPr>
          <w:rFonts w:asciiTheme="majorBidi" w:eastAsia="Noto Kufi Arabic" w:hAnsiTheme="majorBidi" w:hint="cs"/>
        </w:rPr>
        <w:t xml:space="preserve"> </w:t>
      </w:r>
      <w:r w:rsidR="00C81FDB" w:rsidRPr="00474D65">
        <w:rPr>
          <w:rFonts w:asciiTheme="majorBidi" w:eastAsia="Noto Kufi Arabic" w:hAnsiTheme="majorBidi"/>
        </w:rPr>
        <w:t>المخرجات المتوقعة</w:t>
      </w:r>
      <w:bookmarkEnd w:id="33"/>
    </w:p>
    <w:p w14:paraId="2D091F40" w14:textId="77777777" w:rsidR="00217BB6" w:rsidRPr="00474D65" w:rsidRDefault="00C81FDB" w:rsidP="00CD5745">
      <w:pPr>
        <w:pStyle w:val="BodyArabic"/>
        <w:spacing w:before="0" w:after="0" w:line="360"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لوحة مراجعة تعرض حالة المزاد والتنبيهات مع السبب والأحداث الداعمة بدل عرض درجة غير مفسرة.</w:t>
      </w:r>
    </w:p>
    <w:p w14:paraId="5200B596" w14:textId="77777777" w:rsidR="00217BB6" w:rsidRPr="00474D65" w:rsidRDefault="00C81FDB" w:rsidP="00CD5745">
      <w:pPr>
        <w:pStyle w:val="BodyArabic"/>
        <w:spacing w:before="0" w:after="0" w:line="360"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خريطة علاقات للمزايدين المستعارين تساعد على اكتشاف التفاعل المتكرر والمركز بصريًا.</w:t>
      </w:r>
    </w:p>
    <w:p w14:paraId="00432572" w14:textId="77777777" w:rsidR="00217BB6" w:rsidRPr="00474D65" w:rsidRDefault="00C81FDB" w:rsidP="00CD5745">
      <w:pPr>
        <w:pStyle w:val="BodyArabic"/>
        <w:spacing w:before="0" w:after="0" w:line="360"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حالة واضحة لسلامة سجل المزاد، مع تحديد أول نقطة ينكسر عندها التحقق إذا تغير حدث مسجل.</w:t>
      </w:r>
    </w:p>
    <w:p w14:paraId="2B0033BF" w14:textId="77777777" w:rsidR="00217BB6" w:rsidRPr="00474D65" w:rsidRDefault="00C81FDB" w:rsidP="00CD5745">
      <w:pPr>
        <w:pStyle w:val="BodyArabic"/>
        <w:spacing w:before="0" w:after="0" w:line="360" w:lineRule="auto"/>
        <w:ind w:left="170" w:right="255" w:hanging="170"/>
        <w:jc w:val="both"/>
        <w:rPr>
          <w:rFonts w:asciiTheme="majorBidi" w:hAnsiTheme="majorBidi" w:cstheme="majorBidi"/>
        </w:rPr>
      </w:pPr>
      <w:r w:rsidRPr="00474D65">
        <w:rPr>
          <w:rFonts w:asciiTheme="majorBidi" w:eastAsia="Noto Naskh Arabic" w:hAnsiTheme="majorBidi" w:cstheme="majorBidi"/>
          <w:sz w:val="22"/>
        </w:rPr>
        <w:t>•  تقرير نزاهة بعد إغلاق المزاد يجمع ملخص الأحداث والتنبيهات وحالة المراجعة ونتيجة التحقق من السجل.</w:t>
      </w:r>
    </w:p>
    <w:p w14:paraId="16554879" w14:textId="15949FA4" w:rsidR="00124C75" w:rsidRPr="00124C75" w:rsidRDefault="00C81FDB" w:rsidP="00CD5745">
      <w:pPr>
        <w:pStyle w:val="BodyArabic"/>
        <w:spacing w:before="0" w:after="0" w:line="360" w:lineRule="auto"/>
        <w:ind w:left="170" w:right="255" w:hanging="170"/>
        <w:jc w:val="both"/>
        <w:rPr>
          <w:rFonts w:asciiTheme="majorBidi" w:eastAsia="Noto Naskh Arabic" w:hAnsiTheme="majorBidi" w:cstheme="majorBidi"/>
          <w:sz w:val="22"/>
        </w:rPr>
      </w:pPr>
      <w:r w:rsidRPr="00474D65">
        <w:rPr>
          <w:rFonts w:asciiTheme="majorBidi" w:eastAsia="Noto Naskh Arabic" w:hAnsiTheme="majorBidi" w:cstheme="majorBidi"/>
          <w:sz w:val="22"/>
        </w:rPr>
        <w:t>•  قاعدة قابلة للتوسع مستقبلًا نحو معايرة أفضل للحدود وتحليل تاريخي أعمق دون تغيير جوهر تجربة المراجع.</w:t>
      </w:r>
    </w:p>
    <w:p w14:paraId="164D783F" w14:textId="6798A3B2" w:rsidR="00217BB6" w:rsidRPr="00474D65" w:rsidRDefault="00B214F3" w:rsidP="00474D65">
      <w:pPr>
        <w:pStyle w:val="Heading2"/>
        <w:spacing w:before="140" w:after="80"/>
        <w:rPr>
          <w:rFonts w:asciiTheme="majorBidi" w:hAnsiTheme="majorBidi"/>
        </w:rPr>
      </w:pPr>
      <w:bookmarkStart w:id="34" w:name="_Toc238548598"/>
      <w:r w:rsidRPr="00DE69E2">
        <w:rPr>
          <w:rFonts w:ascii="Noto Naskh Arabic" w:eastAsiaTheme="minorEastAsia" w:hAnsi="Noto Naskh Arabic" w:cstheme="minorBidi"/>
          <w:sz w:val="23"/>
          <w:szCs w:val="22"/>
          <w:rtl w:val="0"/>
        </w:rPr>
        <w:t>٤</w:t>
      </w:r>
      <w:r>
        <w:rPr>
          <w:rFonts w:asciiTheme="majorBidi" w:eastAsia="Noto Kufi Arabic" w:hAnsiTheme="majorBidi" w:hint="cs"/>
        </w:rPr>
        <w:t xml:space="preserve"> </w:t>
      </w:r>
      <w:r>
        <w:rPr>
          <w:rFonts w:asciiTheme="majorBidi" w:eastAsia="Noto Kufi Arabic" w:hAnsiTheme="majorBidi"/>
          <w:rtl w:val="0"/>
        </w:rPr>
        <w:t>٥.</w:t>
      </w:r>
      <w:r w:rsidR="007B0A6F">
        <w:rPr>
          <w:rFonts w:asciiTheme="majorBidi" w:eastAsia="Noto Kufi Arabic" w:hAnsiTheme="majorBidi" w:hint="cs"/>
        </w:rPr>
        <w:t xml:space="preserve"> </w:t>
      </w:r>
      <w:r w:rsidR="00C81FDB" w:rsidRPr="00474D65">
        <w:rPr>
          <w:rFonts w:asciiTheme="majorBidi" w:eastAsia="Noto Kufi Arabic" w:hAnsiTheme="majorBidi"/>
        </w:rPr>
        <w:t>التطبيقات العملية والقيمة المقترحة</w:t>
      </w:r>
      <w:bookmarkEnd w:id="34"/>
    </w:p>
    <w:p w14:paraId="350AB399" w14:textId="77777777" w:rsidR="00217BB6" w:rsidRPr="00474D65" w:rsidRDefault="00C81FDB" w:rsidP="00CD5745">
      <w:pPr>
        <w:pStyle w:val="BodyArabic"/>
        <w:spacing w:after="110" w:line="360" w:lineRule="auto"/>
        <w:jc w:val="both"/>
        <w:rPr>
          <w:rFonts w:asciiTheme="majorBidi" w:hAnsiTheme="majorBidi" w:cstheme="majorBidi"/>
        </w:rPr>
      </w:pPr>
      <w:r w:rsidRPr="00474D65">
        <w:rPr>
          <w:rFonts w:asciiTheme="majorBidi" w:eastAsia="Noto Naskh Arabic" w:hAnsiTheme="majorBidi" w:cstheme="majorBidi"/>
        </w:rPr>
        <w:t>القيمة المباشرة لميزان ليست «اكتشاف الاحتيال تلقائيًا»، بل رفع كفاءة المراجعة وتركيزها. عندما توجد مئات أو آلاف الأحداث، يصبح من الممكن إعطاء الأولوية للحالات التي تستحق النظر بدل مراجعة كل شيء بالعمق نفسه. ويضيف التفسير قابلية للدفاع عن القرار؛ فالمراجع يستطيع إظهار لماذا فُتح التنبيه وما السجلات التي تدعمه. أما التحقق التشفيري فيضيف طبقة ثقة مستقلة: التحليل لا يعتمد فقط على أن قاعدة البيانات تقول إن السجل صحيح، بل يمكن إعادة حساب البصمات للتحقق من الاتساق.</w:t>
      </w:r>
    </w:p>
    <w:p w14:paraId="22BB1909" w14:textId="3825A2DB" w:rsidR="00B214F3" w:rsidRPr="00CD5745" w:rsidRDefault="00C81FDB" w:rsidP="00CD5745">
      <w:pPr>
        <w:pStyle w:val="BodyArabic"/>
        <w:spacing w:after="110" w:line="360" w:lineRule="auto"/>
        <w:jc w:val="both"/>
        <w:rPr>
          <w:rFonts w:asciiTheme="majorBidi" w:eastAsia="Noto Naskh Arabic" w:hAnsiTheme="majorBidi" w:cstheme="majorBidi"/>
          <w:rtl w:val="0"/>
        </w:rPr>
      </w:pPr>
      <w:r w:rsidRPr="00474D65">
        <w:rPr>
          <w:rFonts w:asciiTheme="majorBidi" w:eastAsia="Noto Naskh Arabic" w:hAnsiTheme="majorBidi" w:cstheme="majorBidi"/>
        </w:rPr>
        <w:t>هذه القيمة تخدم أكثر من طرف: إنفاذ ووكلاء البيع من ناحية الحوكمة والتدقيق، المراجعون من ناحية سرعة فهم الحالات، أصحاب الحقوق من ناحية الثقة في سلامة العملية، والمزايدون النظاميون من ناحية وجود رقابة تدعم عدالة المنافسة. وفي حال التوسع لاحقًا، يمكن أن يصبح تقرير النزاهة أحد مكونات ملف المزاد الداخلي، بشرط تحديد الصلاحيات والاحتفاظ بالبيانات وفق السياسات المعتمدة.</w:t>
      </w:r>
    </w:p>
    <w:p w14:paraId="1055DC40" w14:textId="64A142F1" w:rsidR="00124C75" w:rsidRPr="00124C75" w:rsidRDefault="007B0A6F" w:rsidP="00124C75">
      <w:pPr>
        <w:pStyle w:val="Heading2"/>
        <w:spacing w:before="140" w:after="80"/>
      </w:pPr>
      <w:r>
        <w:rPr>
          <w:rFonts w:asciiTheme="majorBidi" w:eastAsia="Noto Kufi Arabic" w:hAnsiTheme="majorBidi" w:hint="cs"/>
        </w:rPr>
        <w:t xml:space="preserve"> </w:t>
      </w:r>
      <w:bookmarkStart w:id="35" w:name="_Toc238548599"/>
      <w:r>
        <w:rPr>
          <w:rFonts w:asciiTheme="majorBidi" w:eastAsia="Noto Kufi Arabic" w:hAnsiTheme="majorBidi"/>
        </w:rPr>
        <w:t>٥.٥</w:t>
      </w:r>
      <w:r>
        <w:rPr>
          <w:rFonts w:asciiTheme="majorBidi" w:eastAsia="Noto Kufi Arabic" w:hAnsiTheme="majorBidi" w:hint="cs"/>
        </w:rPr>
        <w:t xml:space="preserve"> </w:t>
      </w:r>
      <w:r w:rsidR="000F42BD">
        <w:t>ال</w:t>
      </w:r>
      <w:r w:rsidR="001A3C6A">
        <w:rPr>
          <w:rFonts w:hint="cs"/>
        </w:rPr>
        <w:t>ناحية</w:t>
      </w:r>
      <w:r w:rsidR="000F42BD">
        <w:t xml:space="preserve"> المالية والقيمة الاقتصادية المتوقعة</w:t>
      </w:r>
      <w:bookmarkEnd w:id="35"/>
    </w:p>
    <w:p w14:paraId="3289D6C9" w14:textId="666F35A7" w:rsidR="00124C75" w:rsidRPr="00D123AC" w:rsidRDefault="00F74C0E" w:rsidP="00CD5745">
      <w:pPr>
        <w:pStyle w:val="NormalWeb"/>
        <w:bidi/>
        <w:spacing w:line="360" w:lineRule="auto"/>
        <w:rPr>
          <w:rFonts w:asciiTheme="majorBidi" w:eastAsia="Noto Naskh Arabic" w:hAnsiTheme="majorBidi" w:cstheme="majorBidi"/>
          <w:color w:val="142536"/>
          <w:sz w:val="23"/>
          <w:szCs w:val="22"/>
          <w:rtl/>
          <w:cs/>
        </w:rPr>
      </w:pPr>
      <w:r w:rsidRPr="00D123AC">
        <w:rPr>
          <w:rFonts w:asciiTheme="majorBidi" w:eastAsia="Noto Naskh Arabic" w:hAnsiTheme="majorBidi" w:cstheme="majorBidi"/>
          <w:color w:val="142536"/>
          <w:sz w:val="23"/>
          <w:szCs w:val="22"/>
          <w:rtl/>
        </w:rPr>
        <w:t>تشير الدراسات العالمية إلى أن حجم سوق أدوات كشف الاحتيال بالذكاء الاصطناعي شهد نموًا متسارعًا، إذ قُدّر بنحو 52.8 مليار دولار عام 2024 مع توقعات بالوصول إلى 246 مليار دولار بحلول 2032 بمعدل نمو سنوي مركب يقارب 21%. هذا النمو مدفوع بارتفاع حجم المعاملات الرقمية وتزايد الحاجة لأدوات كشف آلية تتجاوز حدود المراجعة اليدوية (آرتيك سليدج، 2026).</w:t>
      </w:r>
    </w:p>
    <w:p w14:paraId="0F520149" w14:textId="77777777" w:rsidR="00F74C0E" w:rsidRPr="00D123AC" w:rsidRDefault="00F74C0E" w:rsidP="00CD5745">
      <w:pPr>
        <w:pStyle w:val="NormalWeb"/>
        <w:bidi/>
        <w:spacing w:line="360" w:lineRule="auto"/>
        <w:rPr>
          <w:rFonts w:asciiTheme="majorBidi" w:eastAsia="Noto Naskh Arabic" w:hAnsiTheme="majorBidi" w:cstheme="majorBidi"/>
          <w:color w:val="142536"/>
          <w:sz w:val="23"/>
          <w:szCs w:val="22"/>
          <w:rtl/>
        </w:rPr>
      </w:pPr>
      <w:r w:rsidRPr="00D123AC">
        <w:rPr>
          <w:rFonts w:asciiTheme="majorBidi" w:eastAsia="Noto Naskh Arabic" w:hAnsiTheme="majorBidi" w:cstheme="majorBidi"/>
          <w:color w:val="142536"/>
          <w:sz w:val="23"/>
          <w:szCs w:val="22"/>
          <w:rtl/>
        </w:rPr>
        <w:t>من ناحية العائد الفعلي، تُظهر التقارير أن المؤسسات التي تبنّت أنظمة كشف احتيال قائمة على الذكاء الاصطناعي حققت وفورات تشغيلية بمتوسط 7 ملايين دولار سنويًا، مع عائد استثمار يصل إلى 385% خلال ثلاث سنوات، إضافة إلى خفض في التكاليف التشغيلية بنسبة 42% عبر الأتمتة. وفي سياق مشابه، أشارت دراسة أخرى إلى أن 42% من مُصدري البطاقات الذين استخدموا أدوات كشف الاحتيال بالذكاء الاصطناعي وفّروا أكثر من 5 ملايين دولار من خسائر الاحتيال خلال سنتين فقط (آرتيك سليدج، 2026؛ سوفتيود، 2026).</w:t>
      </w:r>
    </w:p>
    <w:p w14:paraId="5807FE39" w14:textId="77777777" w:rsidR="00F74C0E" w:rsidRPr="00D123AC" w:rsidRDefault="00F74C0E" w:rsidP="00CD5745">
      <w:pPr>
        <w:pStyle w:val="NormalWeb"/>
        <w:bidi/>
        <w:spacing w:line="360" w:lineRule="auto"/>
        <w:rPr>
          <w:rFonts w:asciiTheme="majorBidi" w:eastAsia="Noto Naskh Arabic" w:hAnsiTheme="majorBidi" w:cstheme="majorBidi"/>
          <w:color w:val="142536"/>
          <w:sz w:val="23"/>
          <w:szCs w:val="22"/>
          <w:rtl/>
        </w:rPr>
      </w:pPr>
      <w:r w:rsidRPr="00D123AC">
        <w:rPr>
          <w:rFonts w:asciiTheme="majorBidi" w:eastAsia="Noto Naskh Arabic" w:hAnsiTheme="majorBidi" w:cstheme="majorBidi"/>
          <w:color w:val="142536"/>
          <w:sz w:val="23"/>
          <w:szCs w:val="22"/>
          <w:rtl/>
        </w:rPr>
        <w:t>بالاستناد إلى حجم المبيعات المُشار إليه في هذه الدراسة (10.7 مليار ريال بالنصف الأول من 2026)، وإلى نسب المخاطرة الموثقة بحثيًا (16%–44% رفع بالسعر النهائي بسبب المزايدة الوهمية، و9%–22% انتشار الظاهرة)، فإن تقليص هذه النسبة ولو بمقدار 20–30% فقط يمثّل قيمة مالية مُجنّبة تُقاس بعشرات الملايين من الريالات سنويًا، وهو ما يفوق التكلفة التقديرية لتطوير النظام وتشغيله (مركز الإسناد والتصفية «إنفاذ»، 2026أ؛ نيكيتكوف وباي، 2015؛ تشين وآخرون، 2020).</w:t>
      </w:r>
    </w:p>
    <w:p w14:paraId="45B0AD18" w14:textId="77777777" w:rsidR="00F74C0E" w:rsidRDefault="00F74C0E" w:rsidP="00CD5745">
      <w:pPr>
        <w:pStyle w:val="NormalWeb"/>
        <w:bidi/>
        <w:spacing w:line="360" w:lineRule="auto"/>
        <w:rPr>
          <w:rtl/>
        </w:rPr>
      </w:pPr>
      <w:r w:rsidRPr="00D123AC">
        <w:rPr>
          <w:rFonts w:asciiTheme="majorBidi" w:eastAsia="Noto Naskh Arabic" w:hAnsiTheme="majorBidi" w:cstheme="majorBidi"/>
          <w:color w:val="142536"/>
          <w:sz w:val="23"/>
          <w:szCs w:val="22"/>
          <w:rtl/>
        </w:rPr>
        <w:t>تشمل عناصر التكلفة المتوقعة: تكلفة تطوير النسخة الأولية (فريق تطوير صغير لمدة 3-6 أشهر)، تكلفة التشغيل السحابي السنوي (استضافة، تخزين بيانات المزادات التاريخية، تشغيل نماذج التعلم الآلي)، وتكلفة الصيانة الدورية وإعادة تدريب النماذج. ونظرًا لأن أثر الاحتيال يُقاس فورًا مقابل خط أساس قائم بالفعل، فإن فترة استرداد الاستثمار تكون قصيرة نسبيًا مقارنة بمجالات أخرى لتطبيقات الذكاء الاصطناعي (آرتيك سليدج، 2026).</w:t>
      </w:r>
    </w:p>
    <w:p w14:paraId="01A598E9" w14:textId="77777777" w:rsidR="00970B97" w:rsidRDefault="00970B97" w:rsidP="00E643F0">
      <w:pPr>
        <w:pStyle w:val="BodyArabic"/>
        <w:spacing w:after="110" w:line="276" w:lineRule="auto"/>
        <w:jc w:val="both"/>
        <w:rPr>
          <w:rFonts w:asciiTheme="majorBidi" w:eastAsia="Noto Naskh Arabic" w:hAnsiTheme="majorBidi" w:cstheme="majorBidi" w:hint="cs"/>
          <w:rtl w:val="0"/>
        </w:rPr>
      </w:pPr>
    </w:p>
    <w:p w14:paraId="5C87B5AF" w14:textId="34AB4BA1" w:rsidR="00217BB6" w:rsidRDefault="00C81FDB" w:rsidP="00474D65">
      <w:pPr>
        <w:pStyle w:val="Heading1"/>
        <w:spacing w:before="200" w:after="80"/>
        <w:rPr>
          <w:rFonts w:asciiTheme="majorBidi" w:eastAsia="Noto Kufi Arabic" w:hAnsiTheme="majorBidi"/>
        </w:rPr>
      </w:pPr>
      <w:bookmarkStart w:id="36" w:name="bm_sec6"/>
      <w:bookmarkStart w:id="37" w:name="_Toc238548600"/>
      <w:r w:rsidRPr="00474D65">
        <w:rPr>
          <w:rFonts w:asciiTheme="majorBidi" w:eastAsia="Noto Kufi Arabic" w:hAnsiTheme="majorBidi"/>
        </w:rPr>
        <w:t>٦. المخاطر والضوابط والجوانب النظامية والأخلاقية</w:t>
      </w:r>
      <w:bookmarkEnd w:id="36"/>
      <w:bookmarkEnd w:id="37"/>
    </w:p>
    <w:p w14:paraId="366537B3" w14:textId="77777777" w:rsidR="00474D65" w:rsidRPr="00474D65" w:rsidRDefault="00474D65" w:rsidP="00474D65">
      <w:pPr>
        <w:rPr>
          <w:rFonts w:hint="eastAsia"/>
        </w:rPr>
      </w:pPr>
    </w:p>
    <w:p w14:paraId="5D51E9B1" w14:textId="4AC732E4" w:rsidR="00217BB6" w:rsidRPr="00474D65" w:rsidRDefault="00C81FDB" w:rsidP="00474D65">
      <w:pPr>
        <w:pStyle w:val="Heading2"/>
        <w:spacing w:before="140" w:after="80"/>
        <w:rPr>
          <w:rFonts w:asciiTheme="majorBidi" w:hAnsiTheme="majorBidi"/>
        </w:rPr>
      </w:pPr>
      <w:bookmarkStart w:id="38" w:name="_Toc238548601"/>
      <w:r w:rsidRPr="00474D65">
        <w:rPr>
          <w:rFonts w:asciiTheme="majorBidi" w:eastAsia="Noto Kufi Arabic" w:hAnsiTheme="majorBidi"/>
        </w:rPr>
        <w:t>٦.١ المخاطر الرئيسية وضوابطها</w:t>
      </w:r>
      <w:bookmarkEnd w:id="38"/>
    </w:p>
    <w:tbl>
      <w:tblPr>
        <w:tblStyle w:val="TableGrid"/>
        <w:bidiVisual/>
        <w:tblW w:w="0" w:type="auto"/>
        <w:tblLook w:val="04A0" w:firstRow="1" w:lastRow="0" w:firstColumn="1" w:lastColumn="0" w:noHBand="0" w:noVBand="1"/>
      </w:tblPr>
      <w:tblGrid>
        <w:gridCol w:w="3286"/>
        <w:gridCol w:w="3285"/>
        <w:gridCol w:w="3285"/>
      </w:tblGrid>
      <w:tr w:rsidR="00217BB6" w:rsidRPr="00474D65" w14:paraId="49484C08"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2A7F137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الخطر</w:t>
            </w:r>
          </w:p>
        </w:tc>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681A0F0C"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الأثر المحتمل</w:t>
            </w:r>
          </w:p>
        </w:tc>
        <w:tc>
          <w:tcPr>
            <w:tcW w:w="3289" w:type="dxa"/>
            <w:tcBorders>
              <w:top w:val="single" w:sz="4" w:space="0" w:color="C7D2DA"/>
              <w:left w:val="single" w:sz="4" w:space="0" w:color="C7D2DA"/>
              <w:bottom w:val="single" w:sz="4" w:space="0" w:color="C7D2DA"/>
              <w:right w:val="single" w:sz="4" w:space="0" w:color="C7D2DA"/>
            </w:tcBorders>
            <w:shd w:val="clear" w:color="auto" w:fill="06233F"/>
            <w:tcMar>
              <w:top w:w="85" w:type="dxa"/>
              <w:left w:w="90" w:type="dxa"/>
              <w:bottom w:w="85" w:type="dxa"/>
              <w:right w:w="90" w:type="dxa"/>
            </w:tcMar>
            <w:vAlign w:val="center"/>
          </w:tcPr>
          <w:p w14:paraId="4AC02B41"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b/>
                <w:color w:val="FFFFFF"/>
                <w:sz w:val="16"/>
              </w:rPr>
              <w:t>الضابط المقترح</w:t>
            </w:r>
          </w:p>
        </w:tc>
      </w:tr>
      <w:tr w:rsidR="00217BB6" w:rsidRPr="00474D65" w14:paraId="5FA6998A"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7599AC90"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اتهام خاطئ</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237E127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ضرر على المزايد وقرار غير منصف</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36972657"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عدم استخدام كلمة «احتيال» كنتيجة آلية؛ الصياغة المعتمدة: «نمط غير اعتيادي - يوصى بالمراجعة»، مع قرار بشري.</w:t>
            </w:r>
          </w:p>
        </w:tc>
      </w:tr>
      <w:tr w:rsidR="00217BB6" w:rsidRPr="00474D65" w14:paraId="1DA3AC10"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155D3D58"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إنذارات كاذبة</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35071643"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إرهاق المراجع وفقدان الثقة بالنظام</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6BEDD22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إظهار مكونات التنبيه، معايرة الحدود دوريًا، وتوثيق قبول/رفض التنبيه.</w:t>
            </w:r>
          </w:p>
        </w:tc>
      </w:tr>
      <w:tr w:rsidR="00217BB6" w:rsidRPr="00474D65" w14:paraId="5E78339C"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2B0C9464"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كشف الهوية دون حاجة</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CA58B1C"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مخاطر خصوصية وصلاحيات</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15D66F4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استخدام معرّفات مستعارة في طبقة التحليل، وحصر ربطها بالهوية في الأنظمة المصرح لها.</w:t>
            </w:r>
          </w:p>
        </w:tc>
      </w:tr>
      <w:tr w:rsidR="00217BB6" w:rsidRPr="00474D65" w14:paraId="3E4E2766"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460DDAF"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الاعتماد المفرط على الذكاء الاصطناعي</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53255FA2"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تحويل أداة مساعدة إلى حكم تلقائي</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5BD2BA9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إلزام واجهة النظام بعرض الأدلة وعدم تنفيذ إجراء على المزايد تلقائيًا.</w:t>
            </w:r>
          </w:p>
        </w:tc>
      </w:tr>
      <w:tr w:rsidR="00217BB6" w:rsidRPr="00474D65" w14:paraId="4D1D753D" w14:textId="77777777">
        <w:trPr>
          <w:cantSplit/>
        </w:trPr>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74A5263"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المبالغة في معنى البصمة</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5947941A"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اعتبار سلامة السجل إثباتًا لشرعية كل حدث</w:t>
            </w:r>
          </w:p>
        </w:tc>
        <w:tc>
          <w:tcPr>
            <w:tcW w:w="3289" w:type="dxa"/>
            <w:tcBorders>
              <w:top w:val="single" w:sz="4" w:space="0" w:color="C7D2DA"/>
              <w:left w:val="single" w:sz="4" w:space="0" w:color="C7D2DA"/>
              <w:bottom w:val="single" w:sz="4" w:space="0" w:color="C7D2DA"/>
              <w:right w:val="single" w:sz="4" w:space="0" w:color="C7D2DA"/>
            </w:tcBorders>
            <w:tcMar>
              <w:top w:w="85" w:type="dxa"/>
              <w:left w:w="90" w:type="dxa"/>
              <w:bottom w:w="85" w:type="dxa"/>
              <w:right w:w="90" w:type="dxa"/>
            </w:tcMar>
            <w:vAlign w:val="center"/>
          </w:tcPr>
          <w:p w14:paraId="2A09981E"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توضيح أن التحقق يثبت اتساق نسخة السجل فقط ولا يثبت مشروعية الحدث الأصلي.</w:t>
            </w:r>
          </w:p>
        </w:tc>
      </w:tr>
      <w:tr w:rsidR="00217BB6" w:rsidRPr="00474D65" w14:paraId="28448352" w14:textId="77777777">
        <w:trPr>
          <w:cantSplit/>
        </w:trPr>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7E2783CB"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الوصول غير المصرح للسجل</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4CF7EC65"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تسريب أو تغيير بيانات حساسة</w:t>
            </w:r>
          </w:p>
        </w:tc>
        <w:tc>
          <w:tcPr>
            <w:tcW w:w="3289" w:type="dxa"/>
            <w:tcBorders>
              <w:top w:val="single" w:sz="4" w:space="0" w:color="C7D2DA"/>
              <w:left w:val="single" w:sz="4" w:space="0" w:color="C7D2DA"/>
              <w:bottom w:val="single" w:sz="4" w:space="0" w:color="C7D2DA"/>
              <w:right w:val="single" w:sz="4" w:space="0" w:color="C7D2DA"/>
            </w:tcBorders>
            <w:shd w:val="clear" w:color="auto" w:fill="F5F7F9"/>
            <w:tcMar>
              <w:top w:w="85" w:type="dxa"/>
              <w:left w:w="90" w:type="dxa"/>
              <w:bottom w:w="85" w:type="dxa"/>
              <w:right w:w="90" w:type="dxa"/>
            </w:tcMar>
            <w:vAlign w:val="center"/>
          </w:tcPr>
          <w:p w14:paraId="5E34BD06" w14:textId="77777777" w:rsidR="00217BB6" w:rsidRPr="00474D65" w:rsidRDefault="00C81FDB" w:rsidP="00474D65">
            <w:pPr>
              <w:spacing w:after="20" w:line="276" w:lineRule="auto"/>
              <w:rPr>
                <w:rFonts w:asciiTheme="majorBidi" w:hAnsiTheme="majorBidi" w:cstheme="majorBidi"/>
              </w:rPr>
            </w:pPr>
            <w:r w:rsidRPr="00474D65">
              <w:rPr>
                <w:rFonts w:asciiTheme="majorBidi" w:eastAsia="Noto Naskh Arabic" w:hAnsiTheme="majorBidi" w:cstheme="majorBidi"/>
                <w:color w:val="142536"/>
                <w:sz w:val="16"/>
              </w:rPr>
              <w:t>تشفير النقل والتخزين، صلاحيات حسب الدور، فصل المهام، وتسجيل كل عملية إدارية حساسة.</w:t>
            </w:r>
          </w:p>
        </w:tc>
      </w:tr>
    </w:tbl>
    <w:p w14:paraId="1C81DBE9" w14:textId="1EF840A4" w:rsidR="00E643F0" w:rsidRPr="00124C75" w:rsidRDefault="00C81FDB" w:rsidP="00124C75">
      <w:pPr>
        <w:pStyle w:val="CaptionArabic"/>
        <w:jc w:val="center"/>
        <w:rPr>
          <w:rFonts w:asciiTheme="majorBidi" w:eastAsia="Noto Naskh Arabic" w:hAnsiTheme="majorBidi" w:cstheme="majorBidi"/>
          <w:cs w:val="0"/>
        </w:rPr>
      </w:pPr>
      <w:r w:rsidRPr="00474D65">
        <w:rPr>
          <w:rFonts w:asciiTheme="majorBidi" w:eastAsia="Noto Naskh Arabic" w:hAnsiTheme="majorBidi" w:cstheme="majorBidi"/>
        </w:rPr>
        <w:t>جدول ٤: أبرز مخاطر ميزان والضوابط المقترحة.</w:t>
      </w:r>
    </w:p>
    <w:p w14:paraId="31C677D3" w14:textId="544DACF7" w:rsidR="00E643F0" w:rsidRDefault="00E643F0" w:rsidP="00474D65">
      <w:pPr>
        <w:pStyle w:val="CaptionArabic"/>
        <w:jc w:val="center"/>
        <w:rPr>
          <w:rFonts w:asciiTheme="majorBidi" w:hAnsiTheme="majorBidi" w:cstheme="majorBidi"/>
          <w:cs w:val="0"/>
        </w:rPr>
      </w:pPr>
    </w:p>
    <w:p w14:paraId="42F15124" w14:textId="624E0196" w:rsidR="001A3C6A" w:rsidRDefault="001A3C6A" w:rsidP="00474D65">
      <w:pPr>
        <w:pStyle w:val="CaptionArabic"/>
        <w:jc w:val="center"/>
        <w:rPr>
          <w:rFonts w:asciiTheme="majorBidi" w:hAnsiTheme="majorBidi" w:cstheme="majorBidi"/>
          <w:cs w:val="0"/>
        </w:rPr>
      </w:pPr>
    </w:p>
    <w:p w14:paraId="659FAFFB" w14:textId="7E87769B" w:rsidR="001A3C6A" w:rsidRDefault="001A3C6A" w:rsidP="00474D65">
      <w:pPr>
        <w:pStyle w:val="CaptionArabic"/>
        <w:jc w:val="center"/>
        <w:rPr>
          <w:rFonts w:asciiTheme="majorBidi" w:hAnsiTheme="majorBidi" w:cstheme="majorBidi"/>
          <w:cs w:val="0"/>
        </w:rPr>
      </w:pPr>
      <w:bookmarkStart w:id="39" w:name="_GoBack"/>
      <w:bookmarkEnd w:id="39"/>
    </w:p>
    <w:p w14:paraId="2DDE2374" w14:textId="77777777" w:rsidR="001A3C6A" w:rsidRPr="00474D65" w:rsidRDefault="001A3C6A" w:rsidP="00474D65">
      <w:pPr>
        <w:pStyle w:val="CaptionArabic"/>
        <w:jc w:val="center"/>
        <w:rPr>
          <w:rFonts w:asciiTheme="majorBidi" w:hAnsiTheme="majorBidi" w:cstheme="majorBidi"/>
        </w:rPr>
      </w:pPr>
    </w:p>
    <w:p w14:paraId="1B59E26D" w14:textId="11D9262E" w:rsidR="00217BB6" w:rsidRPr="00474D65" w:rsidRDefault="00C81FDB" w:rsidP="00474D65">
      <w:pPr>
        <w:pStyle w:val="Heading2"/>
        <w:spacing w:before="140" w:after="80"/>
        <w:rPr>
          <w:rFonts w:asciiTheme="majorBidi" w:hAnsiTheme="majorBidi"/>
        </w:rPr>
      </w:pPr>
      <w:bookmarkStart w:id="40" w:name="_Toc238548602"/>
      <w:r w:rsidRPr="00474D65">
        <w:rPr>
          <w:rFonts w:asciiTheme="majorBidi" w:eastAsia="Noto Kufi Arabic" w:hAnsiTheme="majorBidi"/>
        </w:rPr>
        <w:t>٦.٢ الخصوصية والأمن والامتثال</w:t>
      </w:r>
      <w:bookmarkEnd w:id="40"/>
    </w:p>
    <w:p w14:paraId="625027DE" w14:textId="77777777"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ينبغي تصميم ميزان وفق مبدأ الحد الأدنى من البيانات. نظام حماية البيانات الشخصية السعودي يعرّف نطاقًا واسعًا للبيانات الشخصية، وتوضح منصة حوكمة البيانات الوطنية أن جمع البيانات يجب أن يقتصر على الحد الأدنى اللازم لتحقيق الغرض المحدد. لذلك لا يحتاج محلل ميزان إلى اسم المزايد أو رقم هويته كي يحسب تكرار التناوب أو توقيت المزايدات؛ يكفي معرّف مستعار ثابت ضمن النطاق المصرح به، مع بقاء المطابقة الحقيقية في نظام مستقل يخضع لصلاحيات أعلى (سدايا، د.ت.).</w:t>
      </w:r>
    </w:p>
    <w:p w14:paraId="3816594C" w14:textId="77777777" w:rsidR="00217BB6" w:rsidRDefault="00C81FDB" w:rsidP="00474D65">
      <w:pPr>
        <w:pStyle w:val="BodyArabic"/>
        <w:spacing w:after="110" w:line="276" w:lineRule="auto"/>
        <w:jc w:val="both"/>
        <w:rPr>
          <w:rFonts w:asciiTheme="majorBidi" w:eastAsia="Noto Naskh Arabic" w:hAnsiTheme="majorBidi" w:cstheme="majorBidi"/>
        </w:rPr>
      </w:pPr>
      <w:r w:rsidRPr="00474D65">
        <w:rPr>
          <w:rFonts w:asciiTheme="majorBidi" w:eastAsia="Noto Naskh Arabic" w:hAnsiTheme="majorBidi" w:cstheme="majorBidi"/>
        </w:rPr>
        <w:t>أمنيًا، يجب حماية الأحداث أثناء النقل والتخزين، وتطبيق صلاحيات مبنية على الدور، وفصل صلاحيات المراجعة عن صلاحيات إدارة النظام، وإدارة مفاتيح البصمات والتوقيع بصورة آمنة. كما يفضل أن تكون عمليات التحقق قابلة للإعادة بحيث يستطيع المراجع إثبات أن نسخة السجل التي حللها هي نفسها النسخة التي أُنشئت لها البصمات. ولا ينبغي تخزين بيانات إضافية لمجرد أنها متاحة؛ فتصميم ميزان الجيد يبدأ بتحديد ما يحتاجه كل مؤشر فقط.</w:t>
      </w:r>
    </w:p>
    <w:p w14:paraId="094F5416" w14:textId="77777777" w:rsidR="00474D65" w:rsidRPr="00474D65" w:rsidRDefault="00474D65" w:rsidP="00474D65">
      <w:pPr>
        <w:pStyle w:val="BodyArabic"/>
        <w:spacing w:after="110" w:line="276" w:lineRule="auto"/>
        <w:jc w:val="both"/>
        <w:rPr>
          <w:rFonts w:asciiTheme="majorBidi" w:hAnsiTheme="majorBidi" w:cstheme="majorBidi"/>
        </w:rPr>
      </w:pPr>
    </w:p>
    <w:p w14:paraId="4C6C96CB" w14:textId="31CA2592" w:rsidR="00217BB6" w:rsidRPr="00474D65" w:rsidRDefault="00C81FDB" w:rsidP="00474D65">
      <w:pPr>
        <w:pStyle w:val="Heading2"/>
        <w:spacing w:before="140" w:after="80"/>
        <w:rPr>
          <w:rFonts w:asciiTheme="majorBidi" w:hAnsiTheme="majorBidi"/>
        </w:rPr>
      </w:pPr>
      <w:bookmarkStart w:id="41" w:name="_Toc238548603"/>
      <w:r w:rsidRPr="00474D65">
        <w:rPr>
          <w:rFonts w:asciiTheme="majorBidi" w:eastAsia="Noto Kufi Arabic" w:hAnsiTheme="majorBidi"/>
        </w:rPr>
        <w:t>٦.٣ الاعتبارات الأخلاقية والنظامية</w:t>
      </w:r>
      <w:bookmarkEnd w:id="41"/>
    </w:p>
    <w:p w14:paraId="7CE1CFF2" w14:textId="77777777" w:rsidR="00217BB6" w:rsidRPr="00474D65" w:rsidRDefault="00C81FDB" w:rsidP="00474D65">
      <w:pPr>
        <w:pStyle w:val="BodyArabic"/>
        <w:spacing w:after="110" w:line="276" w:lineRule="auto"/>
        <w:jc w:val="both"/>
        <w:rPr>
          <w:rFonts w:asciiTheme="majorBidi" w:eastAsia="Noto Naskh Arabic" w:hAnsiTheme="majorBidi" w:cstheme="majorBidi"/>
          <w:rtl w:val="0"/>
          <w:cs w:val="0"/>
        </w:rPr>
      </w:pPr>
      <w:r w:rsidRPr="00474D65">
        <w:rPr>
          <w:rFonts w:asciiTheme="majorBidi" w:eastAsia="Noto Naskh Arabic" w:hAnsiTheme="majorBidi" w:cstheme="majorBidi"/>
        </w:rPr>
        <w:t>أخلاقيًا، أهم مبدأ هو الفصل بين «إشارة المخاطر» و«الحكم». وجود نمط غير اعتيادي قد يكون له تفسير مشروع، خصوصًا في المزادات التي تختلف طبيعتها وعدد المشاركين ووتيرتها. لذلك يجب أن يستطيع المراجع الوصول إلى البيانات الداعمة، توثيق تفسيره، ورفض التنبيه. ومن الناحية النظامية، يجب أن يبقى ميزان أداة مساعدة داخل الصلاحيات المعتمدة؛ فهو لا ينشئ مسؤولية قانونية ولا يستبدل إجراءات التحقيق أو القرار المختص. هذه الحدود ليست نقطة ضعف؛ بل تجعل الابتكار أكثر واقعية وأمانًا وقابلية للتبني في سياق حكومي وعدلي.</w:t>
      </w:r>
    </w:p>
    <w:p w14:paraId="653F42E3" w14:textId="77777777" w:rsidR="009239BE" w:rsidRPr="00474D65" w:rsidRDefault="009239BE" w:rsidP="00474D65">
      <w:pPr>
        <w:pStyle w:val="BodyArabic"/>
        <w:spacing w:after="110" w:line="276" w:lineRule="auto"/>
        <w:jc w:val="both"/>
        <w:rPr>
          <w:rFonts w:asciiTheme="majorBidi" w:eastAsia="Noto Naskh Arabic" w:hAnsiTheme="majorBidi" w:cstheme="majorBidi"/>
          <w:rtl w:val="0"/>
          <w:cs w:val="0"/>
        </w:rPr>
      </w:pPr>
    </w:p>
    <w:p w14:paraId="04B61CC0" w14:textId="77777777" w:rsidR="009239BE" w:rsidRPr="00474D65" w:rsidRDefault="009239BE" w:rsidP="00474D65">
      <w:pPr>
        <w:pStyle w:val="BodyArabic"/>
        <w:spacing w:after="110" w:line="276" w:lineRule="auto"/>
        <w:jc w:val="both"/>
        <w:rPr>
          <w:rFonts w:asciiTheme="majorBidi" w:hAnsiTheme="majorBidi" w:cstheme="majorBidi"/>
          <w:cs w:val="0"/>
        </w:rPr>
      </w:pPr>
    </w:p>
    <w:p w14:paraId="59E4DD7C" w14:textId="3BDDEA68" w:rsidR="00474D65" w:rsidRPr="00E643F0" w:rsidRDefault="00C81FDB" w:rsidP="00E643F0">
      <w:pPr>
        <w:pStyle w:val="Heading1"/>
        <w:spacing w:before="200" w:after="80"/>
        <w:rPr>
          <w:rFonts w:asciiTheme="majorBidi" w:eastAsia="Noto Kufi Arabic" w:hAnsiTheme="majorBidi" w:hint="eastAsia"/>
        </w:rPr>
      </w:pPr>
      <w:bookmarkStart w:id="42" w:name="bm_sec7"/>
      <w:bookmarkStart w:id="43" w:name="_Toc238548604"/>
      <w:r w:rsidRPr="00474D65">
        <w:rPr>
          <w:rFonts w:asciiTheme="majorBidi" w:eastAsia="Noto Kufi Arabic" w:hAnsiTheme="majorBidi"/>
        </w:rPr>
        <w:t>٧. الخلاصة والتوصية</w:t>
      </w:r>
      <w:bookmarkEnd w:id="42"/>
      <w:bookmarkEnd w:id="43"/>
    </w:p>
    <w:p w14:paraId="7EC91BAE" w14:textId="77777777"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ميزان يتوافق مباشرة مع جوهر مسار المزادات في ابتكار إنفاذ: الكفاءة، الشفافية، الثقة وتحسين تجربة الأطراف. المشكلة التي يعالجها ليست ادعاء وجود احتيال داخل إنفاذ، بل فجوة رقابية طبيعية تنشأ عندما تصبح المزادات رقمية وعالية القيمة وكثيفة الأحداث. الدليل الرسمي على حجم نشاط إنفاذ، وسياسات المنصات العالمية، والأبحاث التطبيقية، والمعايير التشفيرية جميعها تدعم فكرة أن مراقبة أنماط المزايدة والتحقق من سلامة السجل قدرات عملية وليست مجرد تصور نظري.</w:t>
      </w:r>
    </w:p>
    <w:p w14:paraId="0437CEF0" w14:textId="7AED37DD" w:rsidR="00217BB6" w:rsidRPr="00474D65" w:rsidRDefault="00C81FDB" w:rsidP="00474D65">
      <w:pPr>
        <w:pStyle w:val="BodyArabic"/>
        <w:spacing w:after="110" w:line="276" w:lineRule="auto"/>
        <w:jc w:val="both"/>
        <w:rPr>
          <w:rFonts w:asciiTheme="majorBidi" w:hAnsiTheme="majorBidi" w:cstheme="majorBidi"/>
        </w:rPr>
      </w:pPr>
      <w:r w:rsidRPr="00474D65">
        <w:rPr>
          <w:rFonts w:asciiTheme="majorBidi" w:eastAsia="Noto Naskh Arabic" w:hAnsiTheme="majorBidi" w:cstheme="majorBidi"/>
        </w:rPr>
        <w:t xml:space="preserve">قوة ميزان هي أنه لا يطلب إعادة بناء منصة المزاد، ولا يقدم «ذكاءً اصطناعيًا سحريًا» يصدر أحكامًا. بل يقترح طبقة واضحة </w:t>
      </w:r>
      <w:r w:rsidR="00750120">
        <w:rPr>
          <w:rFonts w:asciiTheme="majorBidi" w:eastAsia="Noto Naskh Arabic" w:hAnsiTheme="majorBidi" w:cstheme="majorBidi" w:hint="cs"/>
        </w:rPr>
        <w:t>وهي</w:t>
      </w:r>
      <w:r w:rsidRPr="00474D65">
        <w:rPr>
          <w:rFonts w:asciiTheme="majorBidi" w:eastAsia="Noto Naskh Arabic" w:hAnsiTheme="majorBidi" w:cstheme="majorBidi"/>
        </w:rPr>
        <w:t xml:space="preserve"> رصد سلوك غير اعتيادي، تفسير السبب، إظهار العلاقات، التحقق من أن السجل لم يتغير، ثم تسليم القرار للمختص. هذا المزج بين الذكاء القابل للتفسير والدليل البصري والتحقق التشفيري يمنح الفكرة تميزًا عمليًا ومقنعًا، ويجعلها قابلة للتطوير إلى أداة رقابية حقيقية إذا أثبتت فائدتها في بيئة محكومة.</w:t>
      </w:r>
    </w:p>
    <w:p w14:paraId="7B3350FA" w14:textId="25EFA1E3" w:rsidR="00474D65" w:rsidRDefault="00474D65" w:rsidP="00474D65">
      <w:pPr>
        <w:spacing w:after="0"/>
        <w:rPr>
          <w:rFonts w:asciiTheme="majorBidi" w:hAnsiTheme="majorBidi" w:cstheme="majorBidi"/>
          <w:cs w:val="0"/>
        </w:rPr>
      </w:pPr>
    </w:p>
    <w:p w14:paraId="752238D5" w14:textId="3CEB4C80" w:rsidR="00E643F0" w:rsidRDefault="00E643F0" w:rsidP="00474D65">
      <w:pPr>
        <w:spacing w:after="0"/>
        <w:rPr>
          <w:rFonts w:asciiTheme="majorBidi" w:hAnsiTheme="majorBidi" w:cstheme="majorBidi"/>
          <w:cs w:val="0"/>
        </w:rPr>
      </w:pPr>
    </w:p>
    <w:p w14:paraId="29E28D90" w14:textId="7D468917" w:rsidR="00E643F0" w:rsidRDefault="00E643F0" w:rsidP="00474D65">
      <w:pPr>
        <w:spacing w:after="0"/>
        <w:rPr>
          <w:rFonts w:asciiTheme="majorBidi" w:hAnsiTheme="majorBidi" w:cstheme="majorBidi"/>
          <w:cs w:val="0"/>
        </w:rPr>
      </w:pPr>
    </w:p>
    <w:p w14:paraId="160629EC" w14:textId="77777777" w:rsidR="00B922CF" w:rsidRDefault="00B922CF" w:rsidP="00474D65">
      <w:pPr>
        <w:spacing w:after="0"/>
        <w:rPr>
          <w:rFonts w:asciiTheme="majorBidi" w:hAnsiTheme="majorBidi" w:cstheme="majorBidi"/>
          <w:cs w:val="0"/>
        </w:rPr>
      </w:pPr>
    </w:p>
    <w:p w14:paraId="07DC2739" w14:textId="77777777" w:rsidR="00E643F0" w:rsidRDefault="00E643F0" w:rsidP="00474D65">
      <w:pPr>
        <w:spacing w:after="0"/>
        <w:rPr>
          <w:rFonts w:asciiTheme="majorBidi" w:hAnsiTheme="majorBidi" w:cstheme="majorBidi"/>
          <w:cs w:val="0"/>
        </w:rPr>
      </w:pPr>
    </w:p>
    <w:p w14:paraId="01DE9A6D" w14:textId="03FB8D78" w:rsidR="00E643F0" w:rsidRDefault="00E643F0" w:rsidP="00474D65">
      <w:pPr>
        <w:spacing w:after="0"/>
        <w:rPr>
          <w:rFonts w:asciiTheme="majorBidi" w:hAnsiTheme="majorBidi" w:cstheme="majorBidi"/>
          <w:cs w:val="0"/>
        </w:rPr>
      </w:pPr>
    </w:p>
    <w:p w14:paraId="646EE778" w14:textId="0DB2CD40" w:rsidR="00750120" w:rsidRDefault="00750120" w:rsidP="00474D65">
      <w:pPr>
        <w:spacing w:after="0"/>
        <w:rPr>
          <w:rFonts w:asciiTheme="majorBidi" w:hAnsiTheme="majorBidi" w:cstheme="majorBidi"/>
          <w:cs w:val="0"/>
        </w:rPr>
      </w:pPr>
    </w:p>
    <w:p w14:paraId="1F78BDE2" w14:textId="557FEE7E" w:rsidR="00750120" w:rsidRDefault="00750120" w:rsidP="00474D65">
      <w:pPr>
        <w:spacing w:after="0"/>
        <w:rPr>
          <w:rFonts w:asciiTheme="majorBidi" w:hAnsiTheme="majorBidi" w:cstheme="majorBidi"/>
          <w:cs w:val="0"/>
        </w:rPr>
      </w:pPr>
    </w:p>
    <w:p w14:paraId="27ED30A4" w14:textId="77777777" w:rsidR="00750120" w:rsidRPr="00474D65" w:rsidRDefault="00750120" w:rsidP="00474D65">
      <w:pPr>
        <w:spacing w:after="0"/>
        <w:rPr>
          <w:rFonts w:asciiTheme="majorBidi" w:hAnsiTheme="majorBidi" w:cstheme="majorBidi"/>
        </w:rPr>
      </w:pPr>
    </w:p>
    <w:p w14:paraId="4844213E" w14:textId="50881282" w:rsidR="00217BB6" w:rsidRDefault="00C81FDB" w:rsidP="00474D65">
      <w:pPr>
        <w:pStyle w:val="Heading1"/>
        <w:spacing w:before="200" w:after="80"/>
        <w:rPr>
          <w:rFonts w:asciiTheme="majorBidi" w:eastAsia="Noto Kufi Arabic" w:hAnsiTheme="majorBidi"/>
        </w:rPr>
      </w:pPr>
      <w:bookmarkStart w:id="44" w:name="bm_refs"/>
      <w:bookmarkStart w:id="45" w:name="_Toc238548605"/>
      <w:r w:rsidRPr="00474D65">
        <w:rPr>
          <w:rFonts w:asciiTheme="majorBidi" w:eastAsia="Noto Kufi Arabic" w:hAnsiTheme="majorBidi"/>
        </w:rPr>
        <w:t>المراجع</w:t>
      </w:r>
      <w:bookmarkEnd w:id="44"/>
      <w:bookmarkEnd w:id="45"/>
    </w:p>
    <w:p w14:paraId="0E697568" w14:textId="77777777" w:rsidR="00474D65" w:rsidRPr="00474D65" w:rsidRDefault="00474D65" w:rsidP="00474D65">
      <w:pPr>
        <w:rPr>
          <w:rFonts w:hint="eastAsia"/>
        </w:rPr>
      </w:pPr>
    </w:p>
    <w:p w14:paraId="78BC209C"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جامعة القصيم (2026) «الجامعة تنظم برنامج ابتكار إنفاذ بالشراكة مع مركز الإسناد والتصفية إنفاذ». نُشر في 20 أغسطس 2026. تاريخ الاطلاع: 24 أغسطس 2026. </w:t>
      </w:r>
      <w:hyperlink r:id="rId11">
        <w:r w:rsidRPr="00474D65">
          <w:rPr>
            <w:rFonts w:asciiTheme="majorBidi" w:eastAsia="Noto Naskh Arabic" w:hAnsiTheme="majorBidi" w:cstheme="majorBidi"/>
            <w:color w:val="0563C1"/>
            <w:sz w:val="20"/>
            <w:szCs w:val="20"/>
            <w:u w:val="single"/>
          </w:rPr>
          <w:t>[الرابط]</w:t>
        </w:r>
      </w:hyperlink>
    </w:p>
    <w:p w14:paraId="643BFFC0"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مركز الإسناد والتصفية «إنفاذ» (2026أ) «إنفاذ يحقق مبيعات تتجاوز 10.7 مليارات خلال النصف الأول من 2026م». نُشر في 9 أغسطس 2026. تاريخ الاطلاع: 24 أغسطس 2026. </w:t>
      </w:r>
      <w:hyperlink r:id="rId12">
        <w:r w:rsidRPr="00474D65">
          <w:rPr>
            <w:rFonts w:asciiTheme="majorBidi" w:eastAsia="Noto Naskh Arabic" w:hAnsiTheme="majorBidi" w:cstheme="majorBidi"/>
            <w:color w:val="0563C1"/>
            <w:sz w:val="20"/>
            <w:szCs w:val="20"/>
            <w:u w:val="single"/>
          </w:rPr>
          <w:t>[الرابط]</w:t>
        </w:r>
      </w:hyperlink>
    </w:p>
    <w:p w14:paraId="6CCF44FC"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مركز الإسناد والتصفية «إنفاذ» (2026ب) «المزادات». صفحة رسمية توضح إشراف المركز على المزادات وربطها بالشفافية والعدالة وتحقيق أعلى عائد مالي لأصحاب الحقوق. تاريخ الاطلاع: 24 أغسطس 2026. </w:t>
      </w:r>
      <w:hyperlink r:id="rId13">
        <w:r w:rsidRPr="00474D65">
          <w:rPr>
            <w:rFonts w:asciiTheme="majorBidi" w:eastAsia="Noto Naskh Arabic" w:hAnsiTheme="majorBidi" w:cstheme="majorBidi"/>
            <w:color w:val="0563C1"/>
            <w:sz w:val="20"/>
            <w:szCs w:val="20"/>
            <w:u w:val="single"/>
          </w:rPr>
          <w:t>[الرابط]</w:t>
        </w:r>
      </w:hyperlink>
    </w:p>
    <w:p w14:paraId="66966863"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إي باي (د.ت.) «سياسة المزايدة الوهمية». توضح تعريف المزايدة الوهمية وحظرها واستخدام أنظمة لرصد ومراقبة أنماط وممارسات المزايدة. تاريخ الاطلاع: 24 أغسطس 2026. </w:t>
      </w:r>
      <w:hyperlink r:id="rId14">
        <w:r w:rsidRPr="00474D65">
          <w:rPr>
            <w:rFonts w:asciiTheme="majorBidi" w:eastAsia="Noto Naskh Arabic" w:hAnsiTheme="majorBidi" w:cstheme="majorBidi"/>
            <w:color w:val="0563C1"/>
            <w:sz w:val="20"/>
            <w:szCs w:val="20"/>
            <w:u w:val="single"/>
          </w:rPr>
          <w:t>[الرابط]</w:t>
        </w:r>
      </w:hyperlink>
    </w:p>
    <w:p w14:paraId="332F8D16"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جيريتسه، ل. أ. وفان فيزنبيك، س. ف. أ. (2024) «كشف المزايدة الوهمية التواطئية في المزادات التجارية الإلكترونية»، مجلة الاقتصاد الحاسوبي، 63(1)، ص 1-20. </w:t>
      </w:r>
      <w:hyperlink r:id="rId15">
        <w:r w:rsidRPr="00474D65">
          <w:rPr>
            <w:rFonts w:asciiTheme="majorBidi" w:eastAsia="Noto Naskh Arabic" w:hAnsiTheme="majorBidi" w:cstheme="majorBidi"/>
            <w:color w:val="0563C1"/>
            <w:sz w:val="20"/>
            <w:szCs w:val="20"/>
            <w:u w:val="single"/>
          </w:rPr>
          <w:t>[الرابط]</w:t>
        </w:r>
      </w:hyperlink>
    </w:p>
    <w:p w14:paraId="424446C8"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المعهد الوطني للمعايير والتقنية (2015) «معيار التجزئة الآمنة FIPS 180-4». </w:t>
      </w:r>
      <w:hyperlink r:id="rId16">
        <w:r w:rsidRPr="00474D65">
          <w:rPr>
            <w:rFonts w:asciiTheme="majorBidi" w:eastAsia="Noto Naskh Arabic" w:hAnsiTheme="majorBidi" w:cstheme="majorBidi"/>
            <w:color w:val="0563C1"/>
            <w:sz w:val="20"/>
            <w:szCs w:val="20"/>
            <w:u w:val="single"/>
          </w:rPr>
          <w:t>[الرابط]</w:t>
        </w:r>
      </w:hyperlink>
    </w:p>
    <w:p w14:paraId="505C2C90"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محررو RFC - لوري، ب.؛ ميسيري، إ.؛ سترادلينغ، ر. (2021) «شفافية الشهادات، الإصدار 2.0 - RFC 9162». </w:t>
      </w:r>
      <w:hyperlink r:id="rId17">
        <w:r w:rsidRPr="00474D65">
          <w:rPr>
            <w:rFonts w:asciiTheme="majorBidi" w:eastAsia="Noto Naskh Arabic" w:hAnsiTheme="majorBidi" w:cstheme="majorBidi"/>
            <w:color w:val="0563C1"/>
            <w:sz w:val="20"/>
            <w:szCs w:val="20"/>
            <w:u w:val="single"/>
          </w:rPr>
          <w:t>[الرابط]</w:t>
        </w:r>
      </w:hyperlink>
    </w:p>
    <w:p w14:paraId="7B267C35" w14:textId="77777777" w:rsidR="00217BB6" w:rsidRPr="00474D65" w:rsidRDefault="00C81FDB" w:rsidP="00474D65">
      <w:pPr>
        <w:pStyle w:val="BodyArabic"/>
        <w:spacing w:after="26" w:line="276" w:lineRule="auto"/>
        <w:rPr>
          <w:rFonts w:asciiTheme="majorBidi" w:hAnsiTheme="majorBidi" w:cstheme="majorBidi"/>
        </w:rPr>
      </w:pPr>
      <w:r w:rsidRPr="00474D65">
        <w:rPr>
          <w:rFonts w:asciiTheme="majorBidi" w:eastAsia="Noto Naskh Arabic" w:hAnsiTheme="majorBidi" w:cstheme="majorBidi"/>
          <w:sz w:val="16"/>
        </w:rPr>
        <w:t xml:space="preserve">الهيئة السعودية للبيانات والذكاء الاصطناعي «سدايا» (د.ت.) «نظام حماية البيانات الشخصية والمركز المعرفي». تاريخ الاطلاع: 24 أغسطس 2026. </w:t>
      </w:r>
      <w:hyperlink r:id="rId18">
        <w:r w:rsidRPr="00474D65">
          <w:rPr>
            <w:rFonts w:asciiTheme="majorBidi" w:eastAsia="Noto Naskh Arabic" w:hAnsiTheme="majorBidi" w:cstheme="majorBidi"/>
            <w:color w:val="0563C1"/>
            <w:sz w:val="20"/>
            <w:szCs w:val="20"/>
            <w:u w:val="single"/>
          </w:rPr>
          <w:t>[الرابط]</w:t>
        </w:r>
      </w:hyperlink>
    </w:p>
    <w:p w14:paraId="0E77ECAD" w14:textId="0583123D" w:rsidR="00217BB6" w:rsidRDefault="00C81FDB" w:rsidP="00474D65">
      <w:pPr>
        <w:pStyle w:val="BodyArabic"/>
        <w:spacing w:after="26" w:line="276" w:lineRule="auto"/>
        <w:rPr>
          <w:rFonts w:asciiTheme="majorBidi" w:eastAsia="Noto Naskh Arabic" w:hAnsiTheme="majorBidi" w:cstheme="majorBidi"/>
          <w:color w:val="0563C1"/>
          <w:sz w:val="20"/>
          <w:szCs w:val="20"/>
          <w:u w:val="single"/>
        </w:rPr>
      </w:pPr>
      <w:r w:rsidRPr="00474D65">
        <w:rPr>
          <w:rFonts w:asciiTheme="majorBidi" w:eastAsia="Noto Naskh Arabic" w:hAnsiTheme="majorBidi" w:cstheme="majorBidi"/>
          <w:sz w:val="16"/>
        </w:rPr>
        <w:t xml:space="preserve">الهيئة السعودية للبيانات والذكاء الاصطناعي «سدايا» (د.ت.) «الدليل الاسترشادي لتحديد الحد الأدنى من البيانات الشخصية». تاريخ الاطلاع: 24 أغسطس 2026. </w:t>
      </w:r>
      <w:hyperlink r:id="rId19">
        <w:r w:rsidRPr="00474D65">
          <w:rPr>
            <w:rFonts w:asciiTheme="majorBidi" w:eastAsia="Noto Naskh Arabic" w:hAnsiTheme="majorBidi" w:cstheme="majorBidi"/>
            <w:color w:val="0563C1"/>
            <w:sz w:val="20"/>
            <w:szCs w:val="20"/>
            <w:u w:val="single"/>
          </w:rPr>
          <w:t>[الرابط]</w:t>
        </w:r>
      </w:hyperlink>
    </w:p>
    <w:p w14:paraId="016FE17D" w14:textId="77777777" w:rsidR="00B922CF" w:rsidRDefault="00B922CF" w:rsidP="00B922CF">
      <w:pPr>
        <w:pStyle w:val="NormalWeb"/>
        <w:bidi/>
        <w:rPr>
          <w:rtl/>
          <w:cs/>
        </w:rPr>
      </w:pPr>
      <w:r>
        <w:rPr>
          <w:rtl/>
        </w:rPr>
        <w:t>نيكيتكوف، أ. وباي، د. (2015) «المزايدة الوهمية: دليل تجريبي على فعاليتها واحتمالية اكتشافها في أنظمة المزادات الإلكترونية»، المجلة الدولية لنظم معلومات المحاسبة، 16، ص 42-54.</w:t>
      </w:r>
      <w:r>
        <w:rPr>
          <w:rtl/>
        </w:rPr>
        <w:br/>
      </w:r>
      <w:hyperlink r:id="rId20" w:history="1">
        <w:r>
          <w:rPr>
            <w:rStyle w:val="Hyperlink"/>
          </w:rPr>
          <w:t>https://doi.org/10.1016/j.accinf.2015.02.001</w:t>
        </w:r>
      </w:hyperlink>
    </w:p>
    <w:p w14:paraId="3C2A2F2F" w14:textId="77777777" w:rsidR="00B922CF" w:rsidRDefault="00B922CF" w:rsidP="00B922CF">
      <w:pPr>
        <w:pStyle w:val="NormalWeb"/>
        <w:bidi/>
        <w:rPr>
          <w:rtl/>
        </w:rPr>
      </w:pPr>
      <w:r>
        <w:rPr>
          <w:rtl/>
        </w:rPr>
        <w:t>تشين، ك.، ليانغ، ت.، تشانغ، ت.، ليو، ي.، يين، س. ويو، ي. (2020) «ما مدى خطورة المزايدة الوهمية في المزادات الإلكترونية؟ أدلة من إي باي موتورز».</w:t>
      </w:r>
      <w:r>
        <w:rPr>
          <w:rtl/>
        </w:rPr>
        <w:br/>
      </w:r>
      <w:hyperlink r:id="rId21" w:history="1">
        <w:r>
          <w:rPr>
            <w:rStyle w:val="Hyperlink"/>
          </w:rPr>
          <w:t>https://idv.sinica.edu.tw/kongpin/shill%20bid.pdf</w:t>
        </w:r>
      </w:hyperlink>
    </w:p>
    <w:p w14:paraId="3960EF73" w14:textId="77777777" w:rsidR="00B922CF" w:rsidRDefault="00B922CF" w:rsidP="00B922CF">
      <w:pPr>
        <w:pStyle w:val="NormalWeb"/>
        <w:bidi/>
        <w:rPr>
          <w:rtl/>
        </w:rPr>
      </w:pPr>
      <w:r>
        <w:rPr>
          <w:rtl/>
        </w:rPr>
        <w:t>ماجادي، ن.، تريفاذان، ج. وبيرغمان، ن. (2019) «كشف المزايدة الوهمية التواطئية في المزادات الإلكترونية باستخدام حقل ماركوف العشوائي»، مجلة أبحاث وتطبيقات التجارة الإلكترونية.</w:t>
      </w:r>
      <w:r>
        <w:rPr>
          <w:rtl/>
        </w:rPr>
        <w:br/>
      </w:r>
      <w:hyperlink r:id="rId22" w:history="1">
        <w:r>
          <w:rPr>
            <w:rStyle w:val="Hyperlink"/>
          </w:rPr>
          <w:t>https://doi.org/10.1016/j.elerap.2019.02.002</w:t>
        </w:r>
      </w:hyperlink>
    </w:p>
    <w:p w14:paraId="56CED7C2" w14:textId="139182A2" w:rsidR="00B922CF" w:rsidRDefault="00B922CF" w:rsidP="00636150">
      <w:pPr>
        <w:pStyle w:val="NormalWeb"/>
        <w:bidi/>
        <w:rPr>
          <w:rtl/>
        </w:rPr>
      </w:pPr>
      <w:r>
        <w:rPr>
          <w:rtl/>
        </w:rPr>
        <w:t>كولاتشيك، غ. وبالسيرزاك، س. (2015) «تحديد المزايدة الوهمية في المزادات الإلكترونية باستخدام كشف الشذوذ»، سبرينغر.</w:t>
      </w:r>
      <w:r>
        <w:rPr>
          <w:rtl/>
        </w:rPr>
        <w:br/>
      </w:r>
      <w:hyperlink r:id="rId23" w:history="1">
        <w:r>
          <w:rPr>
            <w:rStyle w:val="Hyperlink"/>
          </w:rPr>
          <w:t>https://doi.org/10.1007/978-3-319-16211-9_12</w:t>
        </w:r>
      </w:hyperlink>
    </w:p>
    <w:p w14:paraId="536305C1" w14:textId="77777777" w:rsidR="00636150" w:rsidRDefault="00636150" w:rsidP="00636150">
      <w:pPr>
        <w:pStyle w:val="NormalWeb"/>
        <w:bidi/>
        <w:rPr>
          <w:rtl/>
          <w:cs/>
        </w:rPr>
      </w:pPr>
      <w:r>
        <w:rPr>
          <w:rtl/>
        </w:rPr>
        <w:t>آرتيك سليدج (2026) «أنظمة كشف الاحتيال بالذكاء الاصطناعي: دليل شامل 2026». تاريخ الاطلاع: 25 أغسطس 2026.</w:t>
      </w:r>
      <w:r>
        <w:rPr>
          <w:rtl/>
        </w:rPr>
        <w:br/>
      </w:r>
      <w:hyperlink r:id="rId24" w:history="1">
        <w:r>
          <w:rPr>
            <w:rStyle w:val="Hyperlink"/>
          </w:rPr>
          <w:t>https://www.articsledge.com/post/ai-fraud-detection</w:t>
        </w:r>
      </w:hyperlink>
    </w:p>
    <w:p w14:paraId="18E09F92" w14:textId="77777777" w:rsidR="00636150" w:rsidRDefault="00636150" w:rsidP="00636150">
      <w:pPr>
        <w:pStyle w:val="NormalWeb"/>
        <w:bidi/>
        <w:rPr>
          <w:rtl/>
        </w:rPr>
      </w:pPr>
      <w:r>
        <w:rPr>
          <w:rtl/>
        </w:rPr>
        <w:t>سوفتيود (2026) «استخدامات الذكاء الاصطناعي في التقنية المالية: البنوك في 2026». تاريخ الاطلاع: 25 أغسطس 2026.</w:t>
      </w:r>
      <w:r>
        <w:rPr>
          <w:rtl/>
        </w:rPr>
        <w:br/>
      </w:r>
      <w:hyperlink r:id="rId25" w:history="1">
        <w:r>
          <w:rPr>
            <w:rStyle w:val="Hyperlink"/>
          </w:rPr>
          <w:t>https://www.softude.com/blog/ai-use-cases-fintech-2026</w:t>
        </w:r>
        <w:r>
          <w:rPr>
            <w:rStyle w:val="Hyperlink"/>
            <w:rtl/>
          </w:rPr>
          <w:t>/</w:t>
        </w:r>
      </w:hyperlink>
    </w:p>
    <w:p w14:paraId="504D44A9" w14:textId="77777777" w:rsidR="00636150" w:rsidRDefault="00636150" w:rsidP="00636150">
      <w:pPr>
        <w:pStyle w:val="NormalWeb"/>
        <w:bidi/>
        <w:rPr>
          <w:rtl/>
        </w:rPr>
      </w:pPr>
    </w:p>
    <w:p w14:paraId="105F56ED" w14:textId="77777777" w:rsidR="00B922CF" w:rsidRPr="00474D65" w:rsidRDefault="00B922CF" w:rsidP="00474D65">
      <w:pPr>
        <w:pStyle w:val="BodyArabic"/>
        <w:spacing w:after="26" w:line="276" w:lineRule="auto"/>
        <w:rPr>
          <w:rFonts w:asciiTheme="majorBidi" w:hAnsiTheme="majorBidi" w:cstheme="majorBidi"/>
        </w:rPr>
      </w:pPr>
    </w:p>
    <w:sectPr w:rsidR="00B922CF" w:rsidRPr="00474D65" w:rsidSect="005A4E68">
      <w:footerReference w:type="default" r:id="rId26"/>
      <w:pgSz w:w="11906" w:h="16838"/>
      <w:pgMar w:top="850" w:right="1020" w:bottom="850" w:left="1020" w:header="720" w:footer="720" w:gutter="0"/>
      <w:pgBorders w:offsetFrom="page">
        <w:top w:val="single" w:sz="4" w:space="24" w:color="auto"/>
        <w:left w:val="single" w:sz="4" w:space="24" w:color="auto"/>
        <w:bottom w:val="single" w:sz="4" w:space="24" w:color="auto"/>
        <w:right w:val="single" w:sz="4" w:space="24" w:color="auto"/>
      </w:pgBorders>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6C5ED0" w14:textId="77777777" w:rsidR="001227A9" w:rsidRDefault="001227A9">
      <w:pPr>
        <w:spacing w:after="0" w:line="240" w:lineRule="auto"/>
        <w:rPr>
          <w:rFonts w:hint="eastAsia"/>
        </w:rPr>
      </w:pPr>
      <w:r>
        <w:separator/>
      </w:r>
    </w:p>
  </w:endnote>
  <w:endnote w:type="continuationSeparator" w:id="0">
    <w:p w14:paraId="2CFDFAFE" w14:textId="77777777" w:rsidR="001227A9" w:rsidRDefault="001227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 w:name="Noto Kufi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8D7D1" w14:textId="6AD91E93" w:rsidR="001227A9" w:rsidRDefault="001227A9">
    <w:pPr>
      <w:pStyle w:val="Footer"/>
      <w:jc w:val="center"/>
      <w:rPr>
        <w:rFonts w:hint="eastAsia"/>
      </w:rPr>
    </w:pPr>
    <w:r>
      <w:rPr>
        <w:rFonts w:eastAsia="Noto Naskh Arabic" w:cs="Noto Naskh Arabic"/>
        <w:color w:val="5A6570"/>
        <w:sz w:val="17"/>
      </w:rPr>
      <w:t xml:space="preserve"> </w:t>
    </w:r>
    <w:r>
      <w:rPr>
        <w:rFonts w:eastAsia="Noto Naskh Arabic" w:cs="Noto Naskh Arabic"/>
        <w:color w:val="5A6570"/>
        <w:sz w:val="17"/>
      </w:rPr>
      <w:fldChar w:fldCharType="begin"/>
    </w:r>
    <w:r>
      <w:rPr>
        <w:rFonts w:eastAsia="Noto Naskh Arabic" w:cs="Noto Naskh Arabic"/>
        <w:color w:val="5A6570"/>
        <w:sz w:val="17"/>
      </w:rPr>
      <w:instrText>PAGE</w:instrText>
    </w:r>
    <w:r>
      <w:rPr>
        <w:rFonts w:eastAsia="Noto Naskh Arabic" w:cs="Noto Naskh Arabic"/>
        <w:color w:val="5A6570"/>
        <w:sz w:val="17"/>
      </w:rPr>
      <w:fldChar w:fldCharType="separate"/>
    </w:r>
    <w:r>
      <w:rPr>
        <w:rFonts w:eastAsia="Noto Naskh Arabic" w:cs="Noto Naskh Arabic"/>
        <w:color w:val="5A6570"/>
        <w:sz w:val="17"/>
      </w:rPr>
      <w:t>1</w:t>
    </w:r>
    <w:r>
      <w:rPr>
        <w:rFonts w:eastAsia="Noto Naskh Arabic" w:cs="Noto Naskh Arabic"/>
        <w:color w:val="5A65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7F9C67" w14:textId="77777777" w:rsidR="001227A9" w:rsidRDefault="001227A9">
      <w:pPr>
        <w:spacing w:after="0" w:line="240" w:lineRule="auto"/>
        <w:rPr>
          <w:rFonts w:hint="eastAsia"/>
        </w:rPr>
      </w:pPr>
      <w:r>
        <w:separator/>
      </w:r>
    </w:p>
  </w:footnote>
  <w:footnote w:type="continuationSeparator" w:id="0">
    <w:p w14:paraId="610F30F5" w14:textId="77777777" w:rsidR="001227A9" w:rsidRDefault="001227A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0048B9"/>
    <w:multiLevelType w:val="hybridMultilevel"/>
    <w:tmpl w:val="7EB0C7A6"/>
    <w:lvl w:ilvl="0" w:tplc="61C09E1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590"/>
    <w:rsid w:val="00034616"/>
    <w:rsid w:val="00052A5B"/>
    <w:rsid w:val="0006063C"/>
    <w:rsid w:val="000700CF"/>
    <w:rsid w:val="000C6947"/>
    <w:rsid w:val="000F42BD"/>
    <w:rsid w:val="001227A9"/>
    <w:rsid w:val="00124C75"/>
    <w:rsid w:val="001377C1"/>
    <w:rsid w:val="0015074B"/>
    <w:rsid w:val="001A3C6A"/>
    <w:rsid w:val="001C2084"/>
    <w:rsid w:val="00217BB6"/>
    <w:rsid w:val="0025689B"/>
    <w:rsid w:val="0029639D"/>
    <w:rsid w:val="00326F90"/>
    <w:rsid w:val="00431C6B"/>
    <w:rsid w:val="00474D65"/>
    <w:rsid w:val="0050689F"/>
    <w:rsid w:val="00516B4B"/>
    <w:rsid w:val="00521F16"/>
    <w:rsid w:val="005A4E68"/>
    <w:rsid w:val="006164BC"/>
    <w:rsid w:val="00636150"/>
    <w:rsid w:val="006C4D67"/>
    <w:rsid w:val="00701D9F"/>
    <w:rsid w:val="00750120"/>
    <w:rsid w:val="007B0A6F"/>
    <w:rsid w:val="007E79B0"/>
    <w:rsid w:val="009239BE"/>
    <w:rsid w:val="00970B97"/>
    <w:rsid w:val="009A31E7"/>
    <w:rsid w:val="00A95914"/>
    <w:rsid w:val="00AA1D8D"/>
    <w:rsid w:val="00B214F3"/>
    <w:rsid w:val="00B47730"/>
    <w:rsid w:val="00B922CF"/>
    <w:rsid w:val="00C12417"/>
    <w:rsid w:val="00C81FDB"/>
    <w:rsid w:val="00CB0664"/>
    <w:rsid w:val="00CD5745"/>
    <w:rsid w:val="00D123AC"/>
    <w:rsid w:val="00D15F47"/>
    <w:rsid w:val="00DB61E1"/>
    <w:rsid w:val="00DE69E2"/>
    <w:rsid w:val="00E35640"/>
    <w:rsid w:val="00E63735"/>
    <w:rsid w:val="00E643F0"/>
    <w:rsid w:val="00EC6981"/>
    <w:rsid w:val="00EE3D2B"/>
    <w:rsid w:val="00F22226"/>
    <w:rsid w:val="00F26248"/>
    <w:rsid w:val="00F70ABB"/>
    <w:rsid w:val="00F74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DF63D"/>
  <w14:defaultImageDpi w14:val="300"/>
  <w15:docId w15:val="{F9C929E6-4BCD-4C7B-BE74-F483984B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bidi/>
        <w:spacing w:before="200" w:after="8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Noto Naskh Arabic" w:hAnsi="Noto Naskh Arabic"/>
      <w:sz w:val="23"/>
      <w:rtl/>
      <w:c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233F"/>
      <w:sz w:val="30"/>
      <w:szCs w:val="28"/>
    </w:rPr>
  </w:style>
  <w:style w:type="paragraph" w:styleId="Heading2">
    <w:name w:val="heading 2"/>
    <w:basedOn w:val="Normal"/>
    <w:next w:val="Normal"/>
    <w:link w:val="Heading2Char"/>
    <w:uiPriority w:val="9"/>
    <w:unhideWhenUsed/>
    <w:qFormat/>
    <w:rsid w:val="00FC693F"/>
    <w:pPr>
      <w:keepNext/>
      <w:keepLines/>
      <w:spacing w:after="0"/>
      <w:outlineLvl w:val="1"/>
    </w:pPr>
    <w:rPr>
      <w:rFonts w:asciiTheme="majorHAnsi" w:eastAsiaTheme="majorEastAsia" w:hAnsiTheme="majorHAnsi" w:cstheme="majorBidi"/>
      <w:b/>
      <w:bCs/>
      <w:color w:val="142536"/>
      <w:sz w:val="25"/>
      <w:szCs w:val="26"/>
    </w:rPr>
  </w:style>
  <w:style w:type="paragraph" w:styleId="Heading3">
    <w:name w:val="heading 3"/>
    <w:basedOn w:val="Normal"/>
    <w:next w:val="Normal"/>
    <w:link w:val="Heading3Char"/>
    <w:uiPriority w:val="9"/>
    <w:unhideWhenUsed/>
    <w:qFormat/>
    <w:rsid w:val="00FC693F"/>
    <w:pPr>
      <w:keepNext/>
      <w:keepLines/>
      <w:spacing w:after="0"/>
      <w:outlineLvl w:val="2"/>
    </w:pPr>
    <w:rPr>
      <w:rFonts w:asciiTheme="majorHAnsi" w:eastAsiaTheme="majorEastAsia" w:hAnsiTheme="majorHAnsi" w:cstheme="majorBidi"/>
      <w:b/>
      <w:bCs/>
      <w:color w:val="142536"/>
    </w:rPr>
  </w:style>
  <w:style w:type="paragraph" w:styleId="Heading4">
    <w:name w:val="heading 4"/>
    <w:basedOn w:val="Normal"/>
    <w:next w:val="Normal"/>
    <w:link w:val="Heading4Char"/>
    <w:uiPriority w:val="9"/>
    <w:semiHidden/>
    <w:unhideWhenUsed/>
    <w:qFormat/>
    <w:rsid w:val="00FC693F"/>
    <w:pPr>
      <w:keepNext/>
      <w:keepLines/>
      <w:spacing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tl/>
      <w:c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c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rabic">
    <w:name w:val="Body Arabic"/>
    <w:pPr>
      <w:spacing w:after="100" w:line="283" w:lineRule="auto"/>
    </w:pPr>
    <w:rPr>
      <w:rFonts w:ascii="Noto Naskh Arabic" w:hAnsi="Noto Naskh Arabic"/>
      <w:color w:val="142536"/>
      <w:sz w:val="23"/>
      <w:rtl/>
      <w:cs/>
    </w:rPr>
  </w:style>
  <w:style w:type="paragraph" w:customStyle="1" w:styleId="CaptionArabic">
    <w:name w:val="Caption Arabic"/>
    <w:rPr>
      <w:rFonts w:ascii="Noto Naskh Arabic" w:hAnsi="Noto Naskh Arabic"/>
      <w:color w:val="5A6570"/>
      <w:sz w:val="18"/>
      <w:rtl/>
      <w:cs/>
    </w:rPr>
  </w:style>
  <w:style w:type="paragraph" w:styleId="TOC2">
    <w:name w:val="toc 2"/>
    <w:basedOn w:val="Normal"/>
    <w:next w:val="Normal"/>
    <w:autoRedefine/>
    <w:uiPriority w:val="39"/>
    <w:unhideWhenUsed/>
    <w:rsid w:val="00C81FDB"/>
    <w:pPr>
      <w:bidi w:val="0"/>
      <w:spacing w:before="0" w:after="100" w:line="259" w:lineRule="auto"/>
      <w:ind w:left="220"/>
    </w:pPr>
    <w:rPr>
      <w:rFonts w:asciiTheme="minorHAnsi" w:hAnsiTheme="minorHAnsi" w:cs="Times New Roman"/>
      <w:sz w:val="22"/>
      <w:rtl w:val="0"/>
      <w:cs w:val="0"/>
    </w:rPr>
  </w:style>
  <w:style w:type="paragraph" w:styleId="TOC1">
    <w:name w:val="toc 1"/>
    <w:basedOn w:val="Normal"/>
    <w:next w:val="Normal"/>
    <w:autoRedefine/>
    <w:uiPriority w:val="39"/>
    <w:unhideWhenUsed/>
    <w:rsid w:val="00C81FDB"/>
    <w:pPr>
      <w:bidi w:val="0"/>
      <w:spacing w:before="0" w:after="100" w:line="259" w:lineRule="auto"/>
    </w:pPr>
    <w:rPr>
      <w:rFonts w:asciiTheme="minorHAnsi" w:hAnsiTheme="minorHAnsi" w:cs="Times New Roman"/>
      <w:sz w:val="22"/>
      <w:rtl w:val="0"/>
      <w:cs w:val="0"/>
    </w:rPr>
  </w:style>
  <w:style w:type="paragraph" w:styleId="TOC3">
    <w:name w:val="toc 3"/>
    <w:basedOn w:val="Normal"/>
    <w:next w:val="Normal"/>
    <w:autoRedefine/>
    <w:uiPriority w:val="39"/>
    <w:unhideWhenUsed/>
    <w:rsid w:val="00C81FDB"/>
    <w:pPr>
      <w:bidi w:val="0"/>
      <w:spacing w:before="0" w:after="100" w:line="259" w:lineRule="auto"/>
      <w:ind w:left="440"/>
    </w:pPr>
    <w:rPr>
      <w:rFonts w:asciiTheme="minorHAnsi" w:hAnsiTheme="minorHAnsi" w:cs="Times New Roman"/>
      <w:sz w:val="22"/>
      <w:rtl w:val="0"/>
      <w:cs w:val="0"/>
    </w:rPr>
  </w:style>
  <w:style w:type="character" w:styleId="Hyperlink">
    <w:name w:val="Hyperlink"/>
    <w:basedOn w:val="DefaultParagraphFont"/>
    <w:uiPriority w:val="99"/>
    <w:unhideWhenUsed/>
    <w:rsid w:val="00C81FDB"/>
    <w:rPr>
      <w:color w:val="0000FF" w:themeColor="hyperlink"/>
      <w:u w:val="single"/>
    </w:rPr>
  </w:style>
  <w:style w:type="paragraph" w:styleId="NormalWeb">
    <w:name w:val="Normal (Web)"/>
    <w:basedOn w:val="Normal"/>
    <w:uiPriority w:val="99"/>
    <w:unhideWhenUsed/>
    <w:rsid w:val="00B922CF"/>
    <w:pPr>
      <w:bidi w:val="0"/>
      <w:spacing w:before="100" w:beforeAutospacing="1" w:after="100" w:afterAutospacing="1" w:line="240" w:lineRule="auto"/>
    </w:pPr>
    <w:rPr>
      <w:rFonts w:ascii="Times New Roman" w:eastAsia="Times New Roman" w:hAnsi="Times New Roman" w:cs="Times New Roman"/>
      <w:sz w:val="24"/>
      <w:szCs w:val="24"/>
      <w:rtl w:val="0"/>
      <w:cs w:val="0"/>
    </w:rPr>
  </w:style>
  <w:style w:type="character" w:styleId="FollowedHyperlink">
    <w:name w:val="FollowedHyperlink"/>
    <w:basedOn w:val="DefaultParagraphFont"/>
    <w:uiPriority w:val="99"/>
    <w:semiHidden/>
    <w:unhideWhenUsed/>
    <w:rsid w:val="00D15F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791329">
      <w:bodyDiv w:val="1"/>
      <w:marLeft w:val="0"/>
      <w:marRight w:val="0"/>
      <w:marTop w:val="0"/>
      <w:marBottom w:val="0"/>
      <w:divBdr>
        <w:top w:val="none" w:sz="0" w:space="0" w:color="auto"/>
        <w:left w:val="none" w:sz="0" w:space="0" w:color="auto"/>
        <w:bottom w:val="none" w:sz="0" w:space="0" w:color="auto"/>
        <w:right w:val="none" w:sz="0" w:space="0" w:color="auto"/>
      </w:divBdr>
    </w:div>
    <w:div w:id="943224082">
      <w:bodyDiv w:val="1"/>
      <w:marLeft w:val="0"/>
      <w:marRight w:val="0"/>
      <w:marTop w:val="0"/>
      <w:marBottom w:val="0"/>
      <w:divBdr>
        <w:top w:val="none" w:sz="0" w:space="0" w:color="auto"/>
        <w:left w:val="none" w:sz="0" w:space="0" w:color="auto"/>
        <w:bottom w:val="none" w:sz="0" w:space="0" w:color="auto"/>
        <w:right w:val="none" w:sz="0" w:space="0" w:color="auto"/>
      </w:divBdr>
    </w:div>
    <w:div w:id="1081222458">
      <w:bodyDiv w:val="1"/>
      <w:marLeft w:val="0"/>
      <w:marRight w:val="0"/>
      <w:marTop w:val="0"/>
      <w:marBottom w:val="0"/>
      <w:divBdr>
        <w:top w:val="none" w:sz="0" w:space="0" w:color="auto"/>
        <w:left w:val="none" w:sz="0" w:space="0" w:color="auto"/>
        <w:bottom w:val="none" w:sz="0" w:space="0" w:color="auto"/>
        <w:right w:val="none" w:sz="0" w:space="0" w:color="auto"/>
      </w:divBdr>
    </w:div>
    <w:div w:id="1253661519">
      <w:bodyDiv w:val="1"/>
      <w:marLeft w:val="0"/>
      <w:marRight w:val="0"/>
      <w:marTop w:val="0"/>
      <w:marBottom w:val="0"/>
      <w:divBdr>
        <w:top w:val="none" w:sz="0" w:space="0" w:color="auto"/>
        <w:left w:val="none" w:sz="0" w:space="0" w:color="auto"/>
        <w:bottom w:val="none" w:sz="0" w:space="0" w:color="auto"/>
        <w:right w:val="none" w:sz="0" w:space="0" w:color="auto"/>
      </w:divBdr>
    </w:div>
    <w:div w:id="1913157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fath.gov.sa/ar/auctions/?pageNo=1&amp;tab=ongoing" TargetMode="External"/><Relationship Id="rId18" Type="http://schemas.openxmlformats.org/officeDocument/2006/relationships/hyperlink" Target="https://dgp.sdaia.gov.sa/wps/portal/pdp/knowledgecenter/details/PDP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idv.sinica.edu.tw/kongpin/shill%20bid.pdf" TargetMode="External"/><Relationship Id="rId7" Type="http://schemas.openxmlformats.org/officeDocument/2006/relationships/endnotes" Target="endnotes.xml"/><Relationship Id="rId12" Type="http://schemas.openxmlformats.org/officeDocument/2006/relationships/hyperlink" Target="https://infath.gov.sa/ar/media-center/news/1104/" TargetMode="External"/><Relationship Id="rId17" Type="http://schemas.openxmlformats.org/officeDocument/2006/relationships/hyperlink" Target="https://www.rfc-editor.org/info/rfc9162/" TargetMode="External"/><Relationship Id="rId25" Type="http://schemas.openxmlformats.org/officeDocument/2006/relationships/hyperlink" Target="https://www.softude.com/blog/ai-use-cases-fintech-2026/" TargetMode="External"/><Relationship Id="rId2" Type="http://schemas.openxmlformats.org/officeDocument/2006/relationships/numbering" Target="numbering.xml"/><Relationship Id="rId16" Type="http://schemas.openxmlformats.org/officeDocument/2006/relationships/hyperlink" Target="https://csrc.nist.gov/pubs/fips/180-4/upd1/final" TargetMode="External"/><Relationship Id="rId20" Type="http://schemas.openxmlformats.org/officeDocument/2006/relationships/hyperlink" Target="https://doi.org/10.1016/j.accinf.2015.02.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edu.sa/news/79026/" TargetMode="External"/><Relationship Id="rId24" Type="http://schemas.openxmlformats.org/officeDocument/2006/relationships/hyperlink" Target="https://www.articsledge.com/post/ai-fraud-detection" TargetMode="External"/><Relationship Id="rId5" Type="http://schemas.openxmlformats.org/officeDocument/2006/relationships/webSettings" Target="webSettings.xml"/><Relationship Id="rId15" Type="http://schemas.openxmlformats.org/officeDocument/2006/relationships/hyperlink" Target="https://doi.org/10.1007/s10614-022-10326-7" TargetMode="External"/><Relationship Id="rId23" Type="http://schemas.openxmlformats.org/officeDocument/2006/relationships/hyperlink" Target="https://doi.org/10.1007/978-3-319-16211-9_12"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gp.sdaia.gov.sa/wps/portal/pdp/knowledgecenter/details/MinimumPersonalDataDeterminationGuidelin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bay.com/help/policies/selling-policies/application-policy?id=4353" TargetMode="External"/><Relationship Id="rId22" Type="http://schemas.openxmlformats.org/officeDocument/2006/relationships/hyperlink" Target="https://doi.org/10.1016/j.elerap.2019.02.00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BBBDF-C0A8-4EF2-B89E-50D71BD5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4507</Words>
  <Characters>25695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ميزان - ذكاء نزاهة المزادات | دراسة الابتكار</vt:lpstr>
    </vt:vector>
  </TitlesOfParts>
  <Manager/>
  <Company/>
  <LinksUpToDate>false</LinksUpToDate>
  <CharactersWithSpaces>30142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ميزان - ذكاء نزاهة المزادات | دراسة الابتكار</dc:title>
  <dc:subject>دراسة ابتكار مقدمة لهاكاثون ابتكار إنفاذ - مسار المزادات</dc:subject>
  <dc:creator>فريق ميزان</dc:creator>
  <cp:keywords>ميزان، ابتكار إنفاذ، المزادات، النزاهة، الذكاء الاصطناعي، سلامة السجل</cp:keywords>
  <dc:description>generated by python-docx</dc:description>
  <cp:lastModifiedBy>22422447 - Gheid Abdulkarim Ahmed Abomaghara</cp:lastModifiedBy>
  <cp:revision>2</cp:revision>
  <dcterms:created xsi:type="dcterms:W3CDTF">2026-08-25T08:23:00Z</dcterms:created>
  <dcterms:modified xsi:type="dcterms:W3CDTF">2026-08-25T08:23:00Z</dcterms:modified>
  <cp:category/>
</cp:coreProperties>
</file>