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59FFB" w14:textId="5F279AFE" w:rsidR="00C60D3F" w:rsidRDefault="009C605B" w:rsidP="009C605B">
      <w:pPr>
        <w:pStyle w:val="1"/>
        <w:rPr>
          <w:lang w:val="ru-RU"/>
        </w:rPr>
      </w:pPr>
      <w:r>
        <w:rPr>
          <w:lang w:val="ru-RU"/>
        </w:rPr>
        <w:t>Инвариантная самостоятельная работа</w:t>
      </w:r>
    </w:p>
    <w:p w14:paraId="0D71DFCA" w14:textId="00C65630" w:rsidR="009C605B" w:rsidRPr="009C605B" w:rsidRDefault="009C605B">
      <w:pPr>
        <w:rPr>
          <w:i/>
          <w:iCs/>
          <w:lang w:val="ru-RU"/>
        </w:rPr>
      </w:pPr>
      <w:r w:rsidRPr="009C605B">
        <w:rPr>
          <w:i/>
          <w:iCs/>
          <w:u w:val="single"/>
          <w:lang w:val="ru-RU"/>
        </w:rPr>
        <w:t>Задание 1.3.</w:t>
      </w:r>
      <w:r w:rsidRPr="009C605B">
        <w:rPr>
          <w:i/>
          <w:iCs/>
          <w:lang w:val="ru-RU"/>
        </w:rPr>
        <w:t xml:space="preserve"> </w:t>
      </w:r>
      <w:r w:rsidRPr="009C605B">
        <w:rPr>
          <w:i/>
          <w:iCs/>
          <w:lang w:val="ru-RU"/>
        </w:rPr>
        <w:t>Изучить стандарты и спецификации в сфере ИТ</w:t>
      </w:r>
    </w:p>
    <w:tbl>
      <w:tblPr>
        <w:tblStyle w:val="ac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2127"/>
        <w:gridCol w:w="567"/>
        <w:gridCol w:w="2409"/>
        <w:gridCol w:w="3686"/>
      </w:tblGrid>
      <w:tr w:rsidR="001D4EB1" w14:paraId="3A1AF2CD" w14:textId="77777777" w:rsidTr="000E6769">
        <w:tc>
          <w:tcPr>
            <w:tcW w:w="1560" w:type="dxa"/>
            <w:vAlign w:val="center"/>
          </w:tcPr>
          <w:p w14:paraId="4C9D8514" w14:textId="71623882" w:rsidR="001D4EB1" w:rsidRPr="0016456D" w:rsidRDefault="001D4EB1" w:rsidP="001D4EB1">
            <w:pPr>
              <w:jc w:val="center"/>
              <w:rPr>
                <w:b/>
                <w:bCs/>
                <w:lang w:val="ru-RU"/>
              </w:rPr>
            </w:pPr>
            <w:r w:rsidRPr="0016456D">
              <w:rPr>
                <w:b/>
                <w:bCs/>
                <w:lang w:val="ru-RU"/>
              </w:rPr>
              <w:t>Категория стандартов</w:t>
            </w:r>
          </w:p>
        </w:tc>
        <w:tc>
          <w:tcPr>
            <w:tcW w:w="2127" w:type="dxa"/>
            <w:vAlign w:val="center"/>
          </w:tcPr>
          <w:p w14:paraId="52071E58" w14:textId="2B5BE0DD" w:rsidR="001D4EB1" w:rsidRPr="0016456D" w:rsidRDefault="001D4EB1" w:rsidP="001D4EB1">
            <w:pPr>
              <w:jc w:val="center"/>
              <w:rPr>
                <w:b/>
                <w:bCs/>
                <w:lang w:val="ru-RU"/>
              </w:rPr>
            </w:pPr>
            <w:r w:rsidRPr="0016456D">
              <w:rPr>
                <w:b/>
                <w:bCs/>
                <w:lang w:val="ru-RU"/>
              </w:rPr>
              <w:t>Аннотация категории стандартов</w:t>
            </w:r>
          </w:p>
        </w:tc>
        <w:tc>
          <w:tcPr>
            <w:tcW w:w="567" w:type="dxa"/>
            <w:vAlign w:val="center"/>
          </w:tcPr>
          <w:p w14:paraId="157C728D" w14:textId="77777777" w:rsidR="001D4EB1" w:rsidRDefault="001D4EB1" w:rsidP="00097BE0">
            <w:pPr>
              <w:jc w:val="center"/>
              <w:rPr>
                <w:b/>
                <w:bCs/>
                <w:lang w:val="ru-RU"/>
              </w:rPr>
            </w:pPr>
            <w:r w:rsidRPr="0016456D">
              <w:rPr>
                <w:b/>
                <w:bCs/>
                <w:lang w:val="ru-RU"/>
              </w:rPr>
              <w:t>№</w:t>
            </w:r>
          </w:p>
          <w:p w14:paraId="38FEB0CD" w14:textId="1B04DE40" w:rsidR="00097BE0" w:rsidRDefault="00097BE0" w:rsidP="00097BE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п/п</w:t>
            </w:r>
          </w:p>
        </w:tc>
        <w:tc>
          <w:tcPr>
            <w:tcW w:w="2409" w:type="dxa"/>
            <w:vAlign w:val="center"/>
          </w:tcPr>
          <w:p w14:paraId="7623EAC9" w14:textId="6844F883" w:rsidR="001D4EB1" w:rsidRPr="0016456D" w:rsidRDefault="001D4EB1" w:rsidP="001D4EB1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и с</w:t>
            </w:r>
            <w:r w:rsidRPr="0016456D">
              <w:rPr>
                <w:b/>
                <w:bCs/>
                <w:lang w:val="ru-RU"/>
              </w:rPr>
              <w:t>сылка на текст стандарта</w:t>
            </w:r>
          </w:p>
        </w:tc>
        <w:tc>
          <w:tcPr>
            <w:tcW w:w="3686" w:type="dxa"/>
            <w:vAlign w:val="center"/>
          </w:tcPr>
          <w:p w14:paraId="5AF31289" w14:textId="36BF75D0" w:rsidR="001D4EB1" w:rsidRPr="0016456D" w:rsidRDefault="001D4EB1" w:rsidP="001D4EB1">
            <w:pPr>
              <w:jc w:val="center"/>
              <w:rPr>
                <w:b/>
                <w:bCs/>
                <w:lang w:val="ru-RU"/>
              </w:rPr>
            </w:pPr>
            <w:r w:rsidRPr="0016456D">
              <w:rPr>
                <w:b/>
                <w:bCs/>
                <w:lang w:val="ru-RU"/>
              </w:rPr>
              <w:t>Аннотация текст</w:t>
            </w:r>
            <w:r>
              <w:rPr>
                <w:b/>
                <w:bCs/>
                <w:lang w:val="ru-RU"/>
              </w:rPr>
              <w:t>а</w:t>
            </w:r>
            <w:r w:rsidRPr="0016456D">
              <w:rPr>
                <w:b/>
                <w:bCs/>
                <w:lang w:val="ru-RU"/>
              </w:rPr>
              <w:t xml:space="preserve"> стандарта</w:t>
            </w:r>
          </w:p>
        </w:tc>
      </w:tr>
      <w:tr w:rsidR="001D4EB1" w:rsidRPr="00B8384E" w14:paraId="17B6D950" w14:textId="77777777" w:rsidTr="000E6769">
        <w:tc>
          <w:tcPr>
            <w:tcW w:w="1560" w:type="dxa"/>
            <w:vMerge w:val="restart"/>
          </w:tcPr>
          <w:p w14:paraId="04B56BDE" w14:textId="049C05BA" w:rsidR="001D4EB1" w:rsidRDefault="001D4EB1" w:rsidP="001D4EB1">
            <w:pPr>
              <w:rPr>
                <w:lang w:val="ru-RU"/>
              </w:rPr>
            </w:pPr>
            <w:r w:rsidRPr="0016456D">
              <w:rPr>
                <w:lang w:val="ru-RU"/>
              </w:rPr>
              <w:t>Базовые международные стандарты</w:t>
            </w:r>
          </w:p>
        </w:tc>
        <w:tc>
          <w:tcPr>
            <w:tcW w:w="2127" w:type="dxa"/>
            <w:vMerge w:val="restart"/>
          </w:tcPr>
          <w:p w14:paraId="3EF7C91D" w14:textId="4B5A0958" w:rsidR="001D4EB1" w:rsidRDefault="001D4EB1" w:rsidP="001D4EB1">
            <w:pPr>
              <w:rPr>
                <w:lang w:val="ru-RU"/>
              </w:rPr>
            </w:pPr>
            <w:r>
              <w:rPr>
                <w:lang w:val="ru-RU"/>
              </w:rPr>
              <w:t>Стандарты данной категории разрабатывали с 1983 года по 2000 год. Они описывают процессы жизненного цикла программного обеспечения, управление разработкой ПО, стандарты оценки качества ПО и процессы составления и ведения документации для разработки и выпуска ПО. А также в данной категории представлены некоторые стандарты процессов для заказчика.</w:t>
            </w:r>
          </w:p>
        </w:tc>
        <w:tc>
          <w:tcPr>
            <w:tcW w:w="567" w:type="dxa"/>
          </w:tcPr>
          <w:p w14:paraId="0972A962" w14:textId="6EC70479" w:rsidR="001D4EB1" w:rsidRPr="00B8384E" w:rsidRDefault="001D4EB1" w:rsidP="00097BE0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09" w:type="dxa"/>
          </w:tcPr>
          <w:p w14:paraId="551D8725" w14:textId="1DD181F0" w:rsidR="001D4EB1" w:rsidRPr="00B8384E" w:rsidRDefault="001D4EB1" w:rsidP="001D4EB1">
            <w:pPr>
              <w:rPr>
                <w:lang w:val="en-US"/>
              </w:rPr>
            </w:pPr>
            <w:r w:rsidRPr="00B8384E">
              <w:rPr>
                <w:lang w:val="en-US"/>
              </w:rPr>
              <w:t>ISO/IEC 25010:2011</w:t>
            </w:r>
          </w:p>
          <w:p w14:paraId="334DC55B" w14:textId="183C6BBB" w:rsidR="001D4EB1" w:rsidRDefault="001D4EB1" w:rsidP="001D4EB1">
            <w:pPr>
              <w:rPr>
                <w:lang w:val="en-US"/>
              </w:rPr>
            </w:pPr>
            <w:r w:rsidRPr="00B8384E">
              <w:rPr>
                <w:lang w:val="en-US"/>
              </w:rPr>
              <w:t>Systems and software engineering — Systems and software Quality Requirements and Evaluation (SQuaRE) — System and software quality models</w:t>
            </w:r>
          </w:p>
          <w:p w14:paraId="60FDB6C1" w14:textId="029412B1" w:rsidR="001D4EB1" w:rsidRPr="00CC23B4" w:rsidRDefault="001D4EB1" w:rsidP="001D4EB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34599F">
              <w:rPr>
                <w:lang w:val="ru-RU"/>
              </w:rPr>
              <w:t>Системная и программная разработка</w:t>
            </w:r>
            <w:r>
              <w:rPr>
                <w:lang w:val="ru-RU"/>
              </w:rPr>
              <w:t xml:space="preserve"> – Требования к качеству и оценка систем и ПО – Модели качества систем и ПО)</w:t>
            </w:r>
          </w:p>
          <w:p w14:paraId="42EB307B" w14:textId="55E8FC4A" w:rsidR="001D4EB1" w:rsidRPr="001D4EB1" w:rsidRDefault="001D4EB1" w:rsidP="001D4EB1">
            <w:pPr>
              <w:rPr>
                <w:lang w:val="ru-RU"/>
              </w:rPr>
            </w:pPr>
            <w:hyperlink r:id="rId5" w:history="1">
              <w:r w:rsidRPr="00B8384E">
                <w:rPr>
                  <w:rStyle w:val="ad"/>
                  <w:lang w:val="en-US"/>
                </w:rPr>
                <w:t>https</w:t>
              </w:r>
              <w:r w:rsidRPr="001D4EB1">
                <w:rPr>
                  <w:rStyle w:val="ad"/>
                  <w:lang w:val="ru-RU"/>
                </w:rPr>
                <w:t>://</w:t>
              </w:r>
              <w:r w:rsidRPr="00B8384E">
                <w:rPr>
                  <w:rStyle w:val="ad"/>
                  <w:lang w:val="en-US"/>
                </w:rPr>
                <w:t>www</w:t>
              </w:r>
              <w:r w:rsidRPr="001D4EB1">
                <w:rPr>
                  <w:rStyle w:val="ad"/>
                  <w:lang w:val="ru-RU"/>
                </w:rPr>
                <w:t>.</w:t>
              </w:r>
              <w:r w:rsidRPr="00B8384E">
                <w:rPr>
                  <w:rStyle w:val="ad"/>
                  <w:lang w:val="en-US"/>
                </w:rPr>
                <w:t>iso</w:t>
              </w:r>
              <w:r w:rsidRPr="001D4EB1">
                <w:rPr>
                  <w:rStyle w:val="ad"/>
                  <w:lang w:val="ru-RU"/>
                </w:rPr>
                <w:t>.</w:t>
              </w:r>
              <w:r w:rsidRPr="00B8384E">
                <w:rPr>
                  <w:rStyle w:val="ad"/>
                  <w:lang w:val="en-US"/>
                </w:rPr>
                <w:t>org</w:t>
              </w:r>
              <w:r w:rsidRPr="001D4EB1">
                <w:rPr>
                  <w:rStyle w:val="ad"/>
                  <w:lang w:val="ru-RU"/>
                </w:rPr>
                <w:t>/</w:t>
              </w:r>
              <w:r w:rsidRPr="00B8384E">
                <w:rPr>
                  <w:rStyle w:val="ad"/>
                  <w:lang w:val="en-US"/>
                </w:rPr>
                <w:t>standard</w:t>
              </w:r>
              <w:r w:rsidRPr="001D4EB1">
                <w:rPr>
                  <w:rStyle w:val="ad"/>
                  <w:lang w:val="ru-RU"/>
                </w:rPr>
                <w:t>/35733.</w:t>
              </w:r>
              <w:r w:rsidRPr="00B8384E">
                <w:rPr>
                  <w:rStyle w:val="ad"/>
                  <w:lang w:val="en-US"/>
                </w:rPr>
                <w:t>html</w:t>
              </w:r>
            </w:hyperlink>
          </w:p>
        </w:tc>
        <w:tc>
          <w:tcPr>
            <w:tcW w:w="3686" w:type="dxa"/>
          </w:tcPr>
          <w:p w14:paraId="3E475EA5" w14:textId="77777777" w:rsidR="001D4EB1" w:rsidRDefault="001D4EB1" w:rsidP="001D4EB1">
            <w:pPr>
              <w:rPr>
                <w:lang w:val="ru-RU"/>
              </w:rPr>
            </w:pPr>
            <w:r>
              <w:rPr>
                <w:lang w:val="ru-RU"/>
              </w:rPr>
              <w:t>В тексте стандарта описываются модели качества использования и качества продукта.</w:t>
            </w:r>
          </w:p>
          <w:p w14:paraId="53AFBB72" w14:textId="0AEAADF5" w:rsidR="001D4EB1" w:rsidRPr="00B8384E" w:rsidRDefault="001D4EB1" w:rsidP="001D4EB1">
            <w:pPr>
              <w:rPr>
                <w:lang w:val="ru-RU"/>
              </w:rPr>
            </w:pPr>
            <w:r w:rsidRPr="00B8384E">
              <w:rPr>
                <w:lang w:val="ru-RU"/>
              </w:rPr>
              <w:t>Сфера применения моделей качества включает вспомогательную спецификацию и оценку программного обеспечения и компьютерных систем, интенсивно использующих программное обеспечение, с разных точек зрения, связанных с их приобретением, требованиями, разработкой, использованием, оценкой, поддержкой, обслуживанием, обеспечением и контролем качества, а также аудитом. Модели могут, например, использоваться разработчиками, покупателями, персоналом по обеспечению и контролю качества и независимыми оценщиками, особенно теми, кто отвечает за определение и оценку качества программного продукта.</w:t>
            </w:r>
          </w:p>
        </w:tc>
      </w:tr>
      <w:tr w:rsidR="001D4EB1" w:rsidRPr="001D4EB1" w14:paraId="19AF0267" w14:textId="77777777" w:rsidTr="000E6769">
        <w:tc>
          <w:tcPr>
            <w:tcW w:w="1560" w:type="dxa"/>
            <w:vMerge/>
          </w:tcPr>
          <w:p w14:paraId="1FD6BE21" w14:textId="77777777" w:rsidR="001D4EB1" w:rsidRDefault="001D4EB1" w:rsidP="001D4EB1">
            <w:pPr>
              <w:rPr>
                <w:lang w:val="ru-RU"/>
              </w:rPr>
            </w:pPr>
          </w:p>
        </w:tc>
        <w:tc>
          <w:tcPr>
            <w:tcW w:w="2127" w:type="dxa"/>
            <w:vMerge/>
          </w:tcPr>
          <w:p w14:paraId="0C48AD7E" w14:textId="283C44AB" w:rsidR="001D4EB1" w:rsidRDefault="001D4EB1" w:rsidP="001D4EB1">
            <w:pPr>
              <w:rPr>
                <w:lang w:val="ru-RU"/>
              </w:rPr>
            </w:pPr>
          </w:p>
        </w:tc>
        <w:tc>
          <w:tcPr>
            <w:tcW w:w="567" w:type="dxa"/>
          </w:tcPr>
          <w:p w14:paraId="3085B626" w14:textId="64039961" w:rsidR="001D4EB1" w:rsidRPr="00CC23B4" w:rsidRDefault="001D4EB1" w:rsidP="00097BE0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09" w:type="dxa"/>
          </w:tcPr>
          <w:p w14:paraId="7348CEBE" w14:textId="0ED8DC3D" w:rsidR="001D4EB1" w:rsidRPr="00CC23B4" w:rsidRDefault="001D4EB1" w:rsidP="001D4EB1">
            <w:pPr>
              <w:rPr>
                <w:lang w:val="en-US"/>
              </w:rPr>
            </w:pPr>
            <w:r w:rsidRPr="00CC23B4">
              <w:rPr>
                <w:lang w:val="en-US"/>
              </w:rPr>
              <w:t>ISO/IEC 25040:2011</w:t>
            </w:r>
          </w:p>
          <w:p w14:paraId="5A0C4A6C" w14:textId="77777777" w:rsidR="001D4EB1" w:rsidRDefault="001D4EB1" w:rsidP="001D4EB1">
            <w:pPr>
              <w:rPr>
                <w:lang w:val="en-US"/>
              </w:rPr>
            </w:pPr>
            <w:r w:rsidRPr="00CC23B4">
              <w:rPr>
                <w:lang w:val="en-US"/>
              </w:rPr>
              <w:t>Systems and software engineering — Systems and software Quality Requirements and Evaluation (SQuaRE) — Evaluation process</w:t>
            </w:r>
          </w:p>
          <w:p w14:paraId="72DB912F" w14:textId="577F5421" w:rsidR="001D4EB1" w:rsidRDefault="001D4EB1" w:rsidP="001D4EB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34599F">
              <w:rPr>
                <w:lang w:val="ru-RU"/>
              </w:rPr>
              <w:t>Системная и программная разработка</w:t>
            </w:r>
            <w:r w:rsidRPr="001D4EB1">
              <w:rPr>
                <w:lang w:val="ru-RU"/>
              </w:rPr>
              <w:t xml:space="preserve"> – Требования к качеству и оценка систем и ПО</w:t>
            </w:r>
            <w:r>
              <w:rPr>
                <w:lang w:val="ru-RU"/>
              </w:rPr>
              <w:t xml:space="preserve"> – Оценка процесса)</w:t>
            </w:r>
          </w:p>
          <w:p w14:paraId="5B346269" w14:textId="4E6E51C2" w:rsidR="001D4EB1" w:rsidRPr="001D4EB1" w:rsidRDefault="001D4EB1" w:rsidP="001D4EB1">
            <w:pPr>
              <w:rPr>
                <w:lang w:val="ru-RU"/>
              </w:rPr>
            </w:pPr>
            <w:hyperlink r:id="rId6" w:history="1">
              <w:r w:rsidRPr="001D4EB1">
                <w:rPr>
                  <w:rStyle w:val="ad"/>
                  <w:lang w:val="ru-RU"/>
                </w:rPr>
                <w:t>https://www.iso.org/ru/standard/35765.html</w:t>
              </w:r>
            </w:hyperlink>
          </w:p>
        </w:tc>
        <w:tc>
          <w:tcPr>
            <w:tcW w:w="3686" w:type="dxa"/>
          </w:tcPr>
          <w:p w14:paraId="03B0335C" w14:textId="148D2A01" w:rsidR="001D4EB1" w:rsidRPr="001D4EB1" w:rsidRDefault="00097BE0" w:rsidP="001D4EB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Данный стандарт </w:t>
            </w:r>
            <w:r w:rsidRPr="00097BE0">
              <w:rPr>
                <w:lang w:val="ru-RU"/>
              </w:rPr>
              <w:t>содержит требования и рекомендации по оценке качества программного продукта и разъясняет общие концепции. Он предоставляет описание процесса для оценки качества программного продукта и устанавливает требования к применению этого процесса.</w:t>
            </w:r>
            <w:r w:rsidR="002C4025">
              <w:rPr>
                <w:lang w:val="ru-RU"/>
              </w:rPr>
              <w:t xml:space="preserve"> </w:t>
            </w:r>
            <w:r w:rsidR="002C4025" w:rsidRPr="002C4025">
              <w:rPr>
                <w:lang w:val="ru-RU"/>
              </w:rPr>
              <w:t>Он предназначен для лиц, ответственных за оценку программного продукта, и подходит для разработчиков, приобретателей и независимых оценщиков программных продуктов.</w:t>
            </w:r>
          </w:p>
        </w:tc>
      </w:tr>
      <w:tr w:rsidR="001D4EB1" w:rsidRPr="002C4025" w14:paraId="11F446C5" w14:textId="77777777" w:rsidTr="000E6769">
        <w:tc>
          <w:tcPr>
            <w:tcW w:w="1560" w:type="dxa"/>
            <w:vMerge/>
          </w:tcPr>
          <w:p w14:paraId="7F3924A5" w14:textId="77777777" w:rsidR="001D4EB1" w:rsidRDefault="001D4EB1" w:rsidP="001D4EB1">
            <w:pPr>
              <w:rPr>
                <w:lang w:val="ru-RU"/>
              </w:rPr>
            </w:pPr>
          </w:p>
        </w:tc>
        <w:tc>
          <w:tcPr>
            <w:tcW w:w="2127" w:type="dxa"/>
            <w:vMerge/>
          </w:tcPr>
          <w:p w14:paraId="4E3FBB09" w14:textId="7E3CD855" w:rsidR="001D4EB1" w:rsidRDefault="001D4EB1" w:rsidP="001D4EB1">
            <w:pPr>
              <w:rPr>
                <w:lang w:val="ru-RU"/>
              </w:rPr>
            </w:pPr>
          </w:p>
        </w:tc>
        <w:tc>
          <w:tcPr>
            <w:tcW w:w="567" w:type="dxa"/>
          </w:tcPr>
          <w:p w14:paraId="4C650A89" w14:textId="79200F27" w:rsidR="001D4EB1" w:rsidRDefault="001D4EB1" w:rsidP="00097B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09" w:type="dxa"/>
          </w:tcPr>
          <w:p w14:paraId="1635544C" w14:textId="77777777" w:rsidR="001D4EB1" w:rsidRDefault="002C4025" w:rsidP="001D4EB1">
            <w:pPr>
              <w:rPr>
                <w:lang w:val="en-US"/>
              </w:rPr>
            </w:pPr>
            <w:r w:rsidRPr="002C4025">
              <w:rPr>
                <w:lang w:val="en-US"/>
              </w:rPr>
              <w:t>IEEE/ISO/IEC 26511-2018 - ISO/IEC/IEEE International Standard - Systems and software engineering - Requirements for managers of information for users of systems, software, and services</w:t>
            </w:r>
          </w:p>
          <w:p w14:paraId="78325F12" w14:textId="425508CF" w:rsidR="002C4025" w:rsidRDefault="002C4025" w:rsidP="001D4EB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2C4025">
              <w:rPr>
                <w:lang w:val="ru-RU"/>
              </w:rPr>
              <w:t xml:space="preserve">Международный стандарт ISO/IEC/IEEE </w:t>
            </w:r>
            <w:r w:rsidR="0034599F">
              <w:rPr>
                <w:lang w:val="ru-RU"/>
              </w:rPr>
              <w:t>–</w:t>
            </w:r>
            <w:r w:rsidRPr="002C4025">
              <w:rPr>
                <w:lang w:val="ru-RU"/>
              </w:rPr>
              <w:t xml:space="preserve"> </w:t>
            </w:r>
            <w:r w:rsidR="0034599F">
              <w:rPr>
                <w:lang w:val="ru-RU"/>
              </w:rPr>
              <w:t>Системная и программная разработка</w:t>
            </w:r>
            <w:r w:rsidRPr="002C4025">
              <w:rPr>
                <w:lang w:val="ru-RU"/>
              </w:rPr>
              <w:t xml:space="preserve"> - Требования к менеджерам информации для пользователей систем, программного обеспечения и услуг</w:t>
            </w:r>
            <w:r>
              <w:rPr>
                <w:lang w:val="ru-RU"/>
              </w:rPr>
              <w:t>)</w:t>
            </w:r>
          </w:p>
          <w:p w14:paraId="7DF73416" w14:textId="1ABE9E83" w:rsidR="00BD7222" w:rsidRPr="002C4025" w:rsidRDefault="00BD7222" w:rsidP="001D4EB1">
            <w:pPr>
              <w:rPr>
                <w:lang w:val="ru-RU"/>
              </w:rPr>
            </w:pPr>
            <w:hyperlink r:id="rId7" w:history="1">
              <w:r w:rsidRPr="00BD7222">
                <w:rPr>
                  <w:rStyle w:val="ad"/>
                  <w:lang w:val="ru-RU"/>
                </w:rPr>
                <w:t>https://standards.ieee.org/standard/26511-2018.html</w:t>
              </w:r>
            </w:hyperlink>
          </w:p>
        </w:tc>
        <w:tc>
          <w:tcPr>
            <w:tcW w:w="3686" w:type="dxa"/>
          </w:tcPr>
          <w:p w14:paraId="0F963ECF" w14:textId="2FB694C4" w:rsidR="001D4EB1" w:rsidRPr="002C4025" w:rsidRDefault="001335E1" w:rsidP="001D4EB1">
            <w:pPr>
              <w:rPr>
                <w:lang w:val="ru-RU"/>
              </w:rPr>
            </w:pPr>
            <w:r w:rsidRPr="001335E1">
              <w:rPr>
                <w:lang w:val="ru-RU"/>
              </w:rPr>
              <w:t>Этот документ поддерживает потребности пользователей в согласованной, полной, точной и удобной информации. Он предоставляет требования к стратегии, планированию, управлению, укомплектованию персоналом, переводу, производству, а также оценке качества и зрелости процессов для менеджеров информации для пользователей. Он определяет процессы и процедуры для управления информацией для пользователей на протяжении всего жизненного цикла разработки продукта или системы. Он также включает требования к ключевым документам, создаваемым для управления информацией для пользователей, включая стратегические планы и планы проектов.</w:t>
            </w:r>
          </w:p>
        </w:tc>
      </w:tr>
      <w:tr w:rsidR="001D4EB1" w:rsidRPr="0034599F" w14:paraId="383BC7D3" w14:textId="77777777" w:rsidTr="000E6769">
        <w:tc>
          <w:tcPr>
            <w:tcW w:w="1560" w:type="dxa"/>
            <w:vMerge w:val="restart"/>
          </w:tcPr>
          <w:p w14:paraId="6AA727E5" w14:textId="1265E02E" w:rsidR="001D4EB1" w:rsidRDefault="001D4EB1" w:rsidP="001D4EB1">
            <w:pPr>
              <w:rPr>
                <w:lang w:val="ru-RU"/>
              </w:rPr>
            </w:pPr>
            <w:r w:rsidRPr="0016456D">
              <w:rPr>
                <w:lang w:val="ru-RU"/>
              </w:rPr>
              <w:t>Стандарты IEEE</w:t>
            </w:r>
          </w:p>
        </w:tc>
        <w:tc>
          <w:tcPr>
            <w:tcW w:w="2127" w:type="dxa"/>
            <w:vMerge w:val="restart"/>
          </w:tcPr>
          <w:p w14:paraId="6CEEC63A" w14:textId="04D2B656" w:rsidR="0060763B" w:rsidRPr="0034599F" w:rsidRDefault="0060763B" w:rsidP="001D4EB1">
            <w:pPr>
              <w:rPr>
                <w:lang w:val="ru-RU"/>
              </w:rPr>
            </w:pPr>
            <w:r>
              <w:rPr>
                <w:lang w:val="ru-RU"/>
              </w:rPr>
              <w:t xml:space="preserve">Стандарты </w:t>
            </w:r>
            <w:r>
              <w:rPr>
                <w:lang w:val="en-US"/>
              </w:rPr>
              <w:t>IEEE</w:t>
            </w:r>
            <w:r w:rsidR="0034599F">
              <w:rPr>
                <w:lang w:val="ru-RU"/>
              </w:rPr>
              <w:t>/</w:t>
            </w:r>
            <w:r>
              <w:rPr>
                <w:lang w:val="en-US"/>
              </w:rPr>
              <w:t>ANSI</w:t>
            </w:r>
            <w:r>
              <w:rPr>
                <w:lang w:val="ru-RU"/>
              </w:rPr>
              <w:t xml:space="preserve"> разрабатывались с 1983 по 1996 года</w:t>
            </w:r>
            <w:r w:rsidR="0034599F">
              <w:rPr>
                <w:lang w:val="ru-RU"/>
              </w:rPr>
              <w:t>, многие из которых были заменены на более новые стандарты.</w:t>
            </w:r>
          </w:p>
          <w:p w14:paraId="29B272E1" w14:textId="6911DA40" w:rsidR="001D4EB1" w:rsidRDefault="0060763B" w:rsidP="001D4EB1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стандарты описывают непосредственно процесс создания информационных систем и программного обеспечения. В них заложены различные требования, уже не качества, а создания </w:t>
            </w:r>
            <w:r>
              <w:rPr>
                <w:lang w:val="ru-RU"/>
              </w:rPr>
              <w:lastRenderedPageBreak/>
              <w:t>технологий. Также в них содержатся различные метрики, методы тестирования, описания процессов создания ПО и документации к нему, есть даже стандарт терминологии.</w:t>
            </w:r>
          </w:p>
        </w:tc>
        <w:tc>
          <w:tcPr>
            <w:tcW w:w="567" w:type="dxa"/>
          </w:tcPr>
          <w:p w14:paraId="74082D5A" w14:textId="5DF2411B" w:rsidR="001D4EB1" w:rsidRDefault="001D4EB1" w:rsidP="00097B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409" w:type="dxa"/>
          </w:tcPr>
          <w:p w14:paraId="1660A6E0" w14:textId="77777777" w:rsidR="0034599F" w:rsidRPr="0034599F" w:rsidRDefault="0034599F" w:rsidP="0034599F">
            <w:pPr>
              <w:rPr>
                <w:lang w:val="en-US"/>
              </w:rPr>
            </w:pPr>
            <w:r w:rsidRPr="0034599F">
              <w:rPr>
                <w:lang w:val="en-US"/>
              </w:rPr>
              <w:t>ISO/IEC TR 24774:2010</w:t>
            </w:r>
          </w:p>
          <w:p w14:paraId="5FCF1688" w14:textId="77777777" w:rsidR="001D4EB1" w:rsidRDefault="0034599F" w:rsidP="0034599F">
            <w:pPr>
              <w:rPr>
                <w:lang w:val="en-US"/>
              </w:rPr>
            </w:pPr>
            <w:r w:rsidRPr="0034599F">
              <w:rPr>
                <w:lang w:val="en-US"/>
              </w:rPr>
              <w:t>Systems and software engineering — Life cycle management — Guidelines for process description</w:t>
            </w:r>
          </w:p>
          <w:p w14:paraId="23C8DE0B" w14:textId="77777777" w:rsidR="0034599F" w:rsidRDefault="0034599F" w:rsidP="0034599F">
            <w:pPr>
              <w:rPr>
                <w:lang w:val="ru-RU"/>
              </w:rPr>
            </w:pPr>
            <w:r>
              <w:rPr>
                <w:lang w:val="ru-RU"/>
              </w:rPr>
              <w:t>(Системная и программная разработка – Управление жизненным циклом – Рекомендации по описанию процесса)</w:t>
            </w:r>
          </w:p>
          <w:p w14:paraId="01417F25" w14:textId="77777777" w:rsidR="0034599F" w:rsidRDefault="0034599F" w:rsidP="0034599F">
            <w:pPr>
              <w:rPr>
                <w:lang w:val="ru-RU"/>
              </w:rPr>
            </w:pPr>
            <w:hyperlink r:id="rId8" w:history="1">
              <w:r w:rsidRPr="0034599F">
                <w:rPr>
                  <w:rStyle w:val="ad"/>
                  <w:lang w:val="ru-RU"/>
                </w:rPr>
                <w:t>https://www.iso.org/standard/53815.html</w:t>
              </w:r>
            </w:hyperlink>
          </w:p>
          <w:p w14:paraId="3DEDF0CA" w14:textId="09F5505E" w:rsidR="0034599F" w:rsidRPr="0034599F" w:rsidRDefault="0034599F" w:rsidP="0034599F">
            <w:pPr>
              <w:rPr>
                <w:lang w:val="ru-RU"/>
              </w:rPr>
            </w:pPr>
            <w:r>
              <w:rPr>
                <w:lang w:val="ru-RU"/>
              </w:rPr>
              <w:t xml:space="preserve">(замененный стандарт: </w:t>
            </w:r>
            <w:hyperlink r:id="rId9" w:history="1">
              <w:r w:rsidRPr="0034599F">
                <w:rPr>
                  <w:rStyle w:val="ad"/>
                  <w:lang w:val="ru-RU"/>
                </w:rPr>
                <w:t>https://standards.ieee.org/standard/1074-2006.html</w:t>
              </w:r>
            </w:hyperlink>
            <w:r>
              <w:rPr>
                <w:lang w:val="ru-RU"/>
              </w:rPr>
              <w:t>)</w:t>
            </w:r>
          </w:p>
        </w:tc>
        <w:tc>
          <w:tcPr>
            <w:tcW w:w="3686" w:type="dxa"/>
          </w:tcPr>
          <w:p w14:paraId="6C3B410F" w14:textId="78CA6A63" w:rsidR="001D4EB1" w:rsidRPr="0034599F" w:rsidRDefault="00784DA2" w:rsidP="001D4EB1">
            <w:pPr>
              <w:rPr>
                <w:lang w:val="ru-RU"/>
              </w:rPr>
            </w:pPr>
            <w:r>
              <w:rPr>
                <w:lang w:val="ru-RU"/>
              </w:rPr>
              <w:t>Данный стандарт</w:t>
            </w:r>
            <w:r w:rsidRPr="00784DA2">
              <w:rPr>
                <w:lang w:val="ru-RU"/>
              </w:rPr>
              <w:t xml:space="preserve"> представляет руководство по элементам, наиболее часто используемым при описании процесса: заголовок, цель, результаты, действия, задача и информационная единица. Хотя основной целью </w:t>
            </w:r>
            <w:r>
              <w:rPr>
                <w:lang w:val="ru-RU"/>
              </w:rPr>
              <w:t>стандарта</w:t>
            </w:r>
            <w:r w:rsidRPr="00784DA2">
              <w:rPr>
                <w:lang w:val="ru-RU"/>
              </w:rPr>
              <w:t xml:space="preserve"> является обеспечение согласованности стандартных эталонных моделей процессов, содержащиеся в нем руководящие принципы могут применяться к любой модели процесса, разработанной для любых целей.</w:t>
            </w:r>
          </w:p>
        </w:tc>
      </w:tr>
      <w:tr w:rsidR="001D4EB1" w:rsidRPr="00F4493B" w14:paraId="2393DC99" w14:textId="77777777" w:rsidTr="000E6769">
        <w:tc>
          <w:tcPr>
            <w:tcW w:w="1560" w:type="dxa"/>
            <w:vMerge/>
          </w:tcPr>
          <w:p w14:paraId="51E0F943" w14:textId="77777777" w:rsidR="001D4EB1" w:rsidRPr="0034599F" w:rsidRDefault="001D4EB1" w:rsidP="001D4EB1">
            <w:pPr>
              <w:rPr>
                <w:lang w:val="ru-RU"/>
              </w:rPr>
            </w:pPr>
          </w:p>
        </w:tc>
        <w:tc>
          <w:tcPr>
            <w:tcW w:w="2127" w:type="dxa"/>
            <w:vMerge/>
          </w:tcPr>
          <w:p w14:paraId="3EC75462" w14:textId="21D68560" w:rsidR="001D4EB1" w:rsidRPr="0034599F" w:rsidRDefault="001D4EB1" w:rsidP="001D4EB1">
            <w:pPr>
              <w:rPr>
                <w:lang w:val="ru-RU"/>
              </w:rPr>
            </w:pPr>
          </w:p>
        </w:tc>
        <w:tc>
          <w:tcPr>
            <w:tcW w:w="567" w:type="dxa"/>
          </w:tcPr>
          <w:p w14:paraId="14EF7784" w14:textId="31B87F0D" w:rsidR="001D4EB1" w:rsidRDefault="001D4EB1" w:rsidP="00097B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09" w:type="dxa"/>
          </w:tcPr>
          <w:p w14:paraId="4EC4BDE8" w14:textId="77777777" w:rsidR="00B37921" w:rsidRPr="00B37921" w:rsidRDefault="00B37921" w:rsidP="00B37921">
            <w:pPr>
              <w:rPr>
                <w:lang w:val="en-US"/>
              </w:rPr>
            </w:pPr>
            <w:r w:rsidRPr="00B37921">
              <w:rPr>
                <w:lang w:val="en-US"/>
              </w:rPr>
              <w:t>ISO/IEC/IEEE 29119-1:2013</w:t>
            </w:r>
          </w:p>
          <w:p w14:paraId="5D63F2F5" w14:textId="77777777" w:rsidR="001D4EB1" w:rsidRDefault="00B37921" w:rsidP="00B37921">
            <w:pPr>
              <w:rPr>
                <w:lang w:val="en-US"/>
              </w:rPr>
            </w:pPr>
            <w:r w:rsidRPr="00B37921">
              <w:rPr>
                <w:lang w:val="en-US"/>
              </w:rPr>
              <w:t>Software and systems engineering — Software testing — Part 1: Concepts and definitions</w:t>
            </w:r>
          </w:p>
          <w:p w14:paraId="5B8B867A" w14:textId="77777777" w:rsidR="00F4493B" w:rsidRDefault="00F4493B" w:rsidP="00B37921">
            <w:pPr>
              <w:rPr>
                <w:lang w:val="ru-RU"/>
              </w:rPr>
            </w:pPr>
            <w:r>
              <w:rPr>
                <w:lang w:val="ru-RU"/>
              </w:rPr>
              <w:t>(Системная и программная разработка – Тестирование ПО – Часть 1: Концепции и определения)</w:t>
            </w:r>
          </w:p>
          <w:p w14:paraId="08171170" w14:textId="77777777" w:rsidR="00F4493B" w:rsidRDefault="00F4493B" w:rsidP="00B37921">
            <w:pPr>
              <w:rPr>
                <w:lang w:val="ru-RU"/>
              </w:rPr>
            </w:pPr>
            <w:hyperlink r:id="rId10" w:history="1">
              <w:r w:rsidRPr="00F4493B">
                <w:rPr>
                  <w:rStyle w:val="ad"/>
                  <w:lang w:val="ru-RU"/>
                </w:rPr>
                <w:t>https://www.iso.org/standard/45142.html</w:t>
              </w:r>
            </w:hyperlink>
          </w:p>
          <w:p w14:paraId="7FFD13A8" w14:textId="0D4A9AF1" w:rsidR="00F4493B" w:rsidRPr="00F4493B" w:rsidRDefault="00F4493B" w:rsidP="00B37921">
            <w:pPr>
              <w:rPr>
                <w:lang w:val="ru-RU"/>
              </w:rPr>
            </w:pPr>
            <w:r>
              <w:rPr>
                <w:lang w:val="ru-RU"/>
              </w:rPr>
              <w:t xml:space="preserve">(замененный стандарт: </w:t>
            </w:r>
            <w:hyperlink r:id="rId11" w:history="1">
              <w:r w:rsidRPr="00F4493B">
                <w:rPr>
                  <w:rStyle w:val="ad"/>
                  <w:lang w:val="ru-RU"/>
                </w:rPr>
                <w:t>https://standards.ieee.org/standard/1008-1987.html</w:t>
              </w:r>
            </w:hyperlink>
            <w:r>
              <w:rPr>
                <w:lang w:val="ru-RU"/>
              </w:rPr>
              <w:t>)</w:t>
            </w:r>
          </w:p>
        </w:tc>
        <w:tc>
          <w:tcPr>
            <w:tcW w:w="3686" w:type="dxa"/>
          </w:tcPr>
          <w:p w14:paraId="2AE80EFD" w14:textId="47498EB4" w:rsidR="001D4EB1" w:rsidRPr="00F4493B" w:rsidRDefault="00F10062" w:rsidP="001D4EB1">
            <w:pPr>
              <w:rPr>
                <w:lang w:val="ru-RU"/>
              </w:rPr>
            </w:pPr>
            <w:r w:rsidRPr="00F10062">
              <w:rPr>
                <w:lang w:val="ru-RU"/>
              </w:rPr>
              <w:t xml:space="preserve">Целью серии стандартов тестирования программного обеспечения является определение согласованного на международном уровне набора стандартов для тестирования программного обеспечения, который может использоваться любой организацией при выполнении любой формы тестирования программного обеспечения. </w:t>
            </w:r>
            <w:r>
              <w:rPr>
                <w:lang w:val="ru-RU"/>
              </w:rPr>
              <w:t>Данный стандарт</w:t>
            </w:r>
            <w:r w:rsidRPr="00F10062">
              <w:rPr>
                <w:lang w:val="ru-RU"/>
              </w:rPr>
              <w:t xml:space="preserve"> облегчает использование других стандартов ISO/IEC/IEEE 29119, вводя концепции и </w:t>
            </w:r>
            <w:r>
              <w:rPr>
                <w:lang w:val="ru-RU"/>
              </w:rPr>
              <w:t>определения</w:t>
            </w:r>
            <w:r w:rsidRPr="00F10062">
              <w:rPr>
                <w:lang w:val="ru-RU"/>
              </w:rPr>
              <w:t xml:space="preserve">, на которых построены эти стандарты, а также предоставляет примеры их применения на практике. </w:t>
            </w:r>
            <w:r>
              <w:rPr>
                <w:lang w:val="ru-RU"/>
              </w:rPr>
              <w:t>Стандарт</w:t>
            </w:r>
            <w:r w:rsidRPr="00F10062">
              <w:rPr>
                <w:lang w:val="ru-RU"/>
              </w:rPr>
              <w:t xml:space="preserve"> является информативным, предоставляя отправную точку, контекст и руководство для других частей.</w:t>
            </w:r>
          </w:p>
        </w:tc>
      </w:tr>
      <w:tr w:rsidR="001D4EB1" w:rsidRPr="00770C01" w14:paraId="31094740" w14:textId="77777777" w:rsidTr="000E6769">
        <w:tc>
          <w:tcPr>
            <w:tcW w:w="1560" w:type="dxa"/>
            <w:vMerge/>
          </w:tcPr>
          <w:p w14:paraId="0160FC79" w14:textId="77777777" w:rsidR="001D4EB1" w:rsidRPr="00F4493B" w:rsidRDefault="001D4EB1" w:rsidP="001D4EB1">
            <w:pPr>
              <w:rPr>
                <w:lang w:val="ru-RU"/>
              </w:rPr>
            </w:pPr>
          </w:p>
        </w:tc>
        <w:tc>
          <w:tcPr>
            <w:tcW w:w="2127" w:type="dxa"/>
            <w:vMerge/>
          </w:tcPr>
          <w:p w14:paraId="00C26422" w14:textId="267E51BD" w:rsidR="001D4EB1" w:rsidRPr="00F4493B" w:rsidRDefault="001D4EB1" w:rsidP="001D4EB1">
            <w:pPr>
              <w:rPr>
                <w:lang w:val="ru-RU"/>
              </w:rPr>
            </w:pPr>
          </w:p>
        </w:tc>
        <w:tc>
          <w:tcPr>
            <w:tcW w:w="567" w:type="dxa"/>
          </w:tcPr>
          <w:p w14:paraId="4B2575FA" w14:textId="0DEEF230" w:rsidR="001D4EB1" w:rsidRDefault="001D4EB1" w:rsidP="00097B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09" w:type="dxa"/>
          </w:tcPr>
          <w:p w14:paraId="2DBE097B" w14:textId="04452AAE" w:rsidR="001D4EB1" w:rsidRDefault="00770C01" w:rsidP="001D4EB1">
            <w:pPr>
              <w:rPr>
                <w:lang w:val="en-US"/>
              </w:rPr>
            </w:pPr>
            <w:r w:rsidRPr="00770C01">
              <w:rPr>
                <w:lang w:val="en-US"/>
              </w:rPr>
              <w:t xml:space="preserve">IEEE/ISO/IEC 14764-2006 - ISO/IEC/IEEE International Standard for Software Engineering - Software Life Cycle Processes </w:t>
            </w:r>
            <w:r>
              <w:rPr>
                <w:lang w:val="en-US"/>
              </w:rPr>
              <w:t>–</w:t>
            </w:r>
            <w:r w:rsidRPr="00770C01">
              <w:rPr>
                <w:lang w:val="en-US"/>
              </w:rPr>
              <w:t xml:space="preserve"> Maintenance</w:t>
            </w:r>
          </w:p>
          <w:p w14:paraId="71DCC4D2" w14:textId="77777777" w:rsidR="00770C01" w:rsidRDefault="00770C01" w:rsidP="001D4EB1">
            <w:pPr>
              <w:rPr>
                <w:lang w:val="ru-RU"/>
              </w:rPr>
            </w:pPr>
            <w:r>
              <w:rPr>
                <w:lang w:val="ru-RU"/>
              </w:rPr>
              <w:t xml:space="preserve">(Международный стандарт </w:t>
            </w:r>
            <w:r w:rsidRPr="00770C01">
              <w:rPr>
                <w:lang w:val="ru-RU"/>
              </w:rPr>
              <w:t>ISO/IEC/IEEE</w:t>
            </w:r>
            <w:r>
              <w:rPr>
                <w:lang w:val="ru-RU"/>
              </w:rPr>
              <w:t xml:space="preserve"> для программной разработки – Жизненный цикл процесса разработки - Обслуживание)</w:t>
            </w:r>
          </w:p>
          <w:p w14:paraId="3C882C58" w14:textId="7E39CD91" w:rsidR="00B2685B" w:rsidRPr="00770C01" w:rsidRDefault="00B2685B" w:rsidP="00B2685B">
            <w:pPr>
              <w:rPr>
                <w:lang w:val="ru-RU"/>
              </w:rPr>
            </w:pPr>
            <w:hyperlink r:id="rId12" w:history="1">
              <w:r w:rsidR="00770C01" w:rsidRPr="00B2685B">
                <w:rPr>
                  <w:rStyle w:val="ad"/>
                  <w:lang w:val="ru-RU"/>
                </w:rPr>
                <w:t>https://standards.ieee.org/standard/14764-2006.html</w:t>
              </w:r>
            </w:hyperlink>
          </w:p>
        </w:tc>
        <w:tc>
          <w:tcPr>
            <w:tcW w:w="3686" w:type="dxa"/>
          </w:tcPr>
          <w:p w14:paraId="4F19EF97" w14:textId="3CE336A2" w:rsidR="001D4EB1" w:rsidRPr="00770C01" w:rsidRDefault="00B2685B" w:rsidP="001D4EB1">
            <w:pPr>
              <w:rPr>
                <w:lang w:val="ru-RU"/>
              </w:rPr>
            </w:pPr>
            <w:r w:rsidRPr="00B2685B">
              <w:rPr>
                <w:lang w:val="ru-RU"/>
              </w:rPr>
              <w:t xml:space="preserve">В этом стандарте более подробно описано управление процессом сопровождения, описанным в ISO/IEC 12207, включая поправки. </w:t>
            </w:r>
            <w:r>
              <w:rPr>
                <w:lang w:val="ru-RU"/>
              </w:rPr>
              <w:t xml:space="preserve">Он </w:t>
            </w:r>
            <w:r w:rsidRPr="00B2685B">
              <w:rPr>
                <w:lang w:val="ru-RU"/>
              </w:rPr>
              <w:t>также устанавливает определения для различных типов</w:t>
            </w:r>
            <w:r w:rsidR="00DF7048">
              <w:rPr>
                <w:lang w:val="ru-RU"/>
              </w:rPr>
              <w:t xml:space="preserve"> технического</w:t>
            </w:r>
            <w:r w:rsidRPr="00B2685B">
              <w:rPr>
                <w:lang w:val="ru-RU"/>
              </w:rPr>
              <w:t xml:space="preserve"> обслуживания. </w:t>
            </w:r>
            <w:r>
              <w:rPr>
                <w:lang w:val="ru-RU"/>
              </w:rPr>
              <w:t>С</w:t>
            </w:r>
            <w:r w:rsidRPr="00B2685B">
              <w:rPr>
                <w:lang w:val="ru-RU"/>
              </w:rPr>
              <w:t xml:space="preserve">тандарт предоставляет руководство, которое применяется к планированию, выполнению и контролю, обзору и оценке, а также завершению процесса сопровождения. Область применения настоящего стандарта включает </w:t>
            </w:r>
            <w:r w:rsidR="00DF7048">
              <w:rPr>
                <w:lang w:val="ru-RU"/>
              </w:rPr>
              <w:t xml:space="preserve">техническое </w:t>
            </w:r>
            <w:r w:rsidRPr="00B2685B">
              <w:rPr>
                <w:lang w:val="ru-RU"/>
              </w:rPr>
              <w:t>обслуживание нескольких программных продуктов с одинаковыми ресурсами обслуживания.</w:t>
            </w:r>
          </w:p>
        </w:tc>
      </w:tr>
      <w:tr w:rsidR="001D4EB1" w:rsidRPr="00301841" w14:paraId="615DB158" w14:textId="77777777" w:rsidTr="000E6769">
        <w:tc>
          <w:tcPr>
            <w:tcW w:w="1560" w:type="dxa"/>
            <w:vMerge w:val="restart"/>
          </w:tcPr>
          <w:p w14:paraId="1AA5650A" w14:textId="5D6E2741" w:rsidR="001D4EB1" w:rsidRDefault="001D4EB1" w:rsidP="001D4EB1">
            <w:pPr>
              <w:rPr>
                <w:lang w:val="ru-RU"/>
              </w:rPr>
            </w:pPr>
            <w:r w:rsidRPr="0016456D">
              <w:rPr>
                <w:lang w:val="ru-RU"/>
              </w:rPr>
              <w:t>Российские стандарты ГОСТ</w:t>
            </w:r>
          </w:p>
        </w:tc>
        <w:tc>
          <w:tcPr>
            <w:tcW w:w="2127" w:type="dxa"/>
            <w:vMerge w:val="restart"/>
          </w:tcPr>
          <w:p w14:paraId="5621DEA3" w14:textId="5838B856" w:rsidR="001D4EB1" w:rsidRDefault="0087021C" w:rsidP="001D4EB1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стандарты в основном предоставляют информацию о стандартах </w:t>
            </w:r>
            <w:r>
              <w:rPr>
                <w:lang w:val="ru-RU"/>
              </w:rPr>
              <w:lastRenderedPageBreak/>
              <w:t>российского рынка, которые требуются при составлении документации на различного рода информационные технологии.</w:t>
            </w:r>
          </w:p>
        </w:tc>
        <w:tc>
          <w:tcPr>
            <w:tcW w:w="567" w:type="dxa"/>
          </w:tcPr>
          <w:p w14:paraId="6A6FAB86" w14:textId="22CDD476" w:rsidR="001D4EB1" w:rsidRDefault="001D4EB1" w:rsidP="00097B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09" w:type="dxa"/>
          </w:tcPr>
          <w:p w14:paraId="438CCCE9" w14:textId="77777777" w:rsidR="001D4EB1" w:rsidRDefault="00541C26" w:rsidP="001D4EB1">
            <w:pPr>
              <w:rPr>
                <w:lang w:val="en-US"/>
              </w:rPr>
            </w:pPr>
            <w:r>
              <w:rPr>
                <w:lang w:val="ru-RU"/>
              </w:rPr>
              <w:t>ГОСТы серии 34</w:t>
            </w:r>
            <w:r>
              <w:rPr>
                <w:lang w:val="en-US"/>
              </w:rPr>
              <w:t>.xxx-xx</w:t>
            </w:r>
          </w:p>
          <w:p w14:paraId="6C670148" w14:textId="5C63F782" w:rsidR="00301841" w:rsidRPr="00541C26" w:rsidRDefault="00301841" w:rsidP="001D4EB1">
            <w:pPr>
              <w:rPr>
                <w:lang w:val="en-US"/>
              </w:rPr>
            </w:pPr>
            <w:hyperlink r:id="rId13" w:history="1">
              <w:r w:rsidRPr="00301841">
                <w:rPr>
                  <w:rStyle w:val="ad"/>
                  <w:lang w:val="en-US"/>
                </w:rPr>
                <w:t>https://www.swrit.ru/gost-34.html</w:t>
              </w:r>
            </w:hyperlink>
          </w:p>
        </w:tc>
        <w:tc>
          <w:tcPr>
            <w:tcW w:w="3686" w:type="dxa"/>
          </w:tcPr>
          <w:p w14:paraId="3DEAE4AD" w14:textId="77777777" w:rsidR="00301841" w:rsidRDefault="00301841" w:rsidP="00301841">
            <w:pPr>
              <w:rPr>
                <w:lang w:val="ru-RU"/>
              </w:rPr>
            </w:pPr>
            <w:r w:rsidRPr="00301841">
              <w:rPr>
                <w:lang w:val="ru-RU"/>
              </w:rPr>
              <w:t>ГОСТы 34 серии и связанные с ними стандарты регламентируют следующие 5 основных областей требований к проектированию систем:</w:t>
            </w:r>
          </w:p>
          <w:p w14:paraId="06687E23" w14:textId="7753931E" w:rsidR="00301841" w:rsidRPr="00301841" w:rsidRDefault="00301841" w:rsidP="00301841">
            <w:pPr>
              <w:rPr>
                <w:lang w:val="ru-RU"/>
              </w:rPr>
            </w:pPr>
            <w:r w:rsidRPr="00301841">
              <w:rPr>
                <w:lang w:val="ru-RU"/>
              </w:rPr>
              <w:lastRenderedPageBreak/>
              <w:t>1) стадии проекта создания системы;</w:t>
            </w:r>
          </w:p>
          <w:p w14:paraId="49C3FF67" w14:textId="5C3FD0AB" w:rsidR="00301841" w:rsidRPr="00301841" w:rsidRDefault="00301841" w:rsidP="00301841">
            <w:pPr>
              <w:rPr>
                <w:lang w:val="ru-RU"/>
              </w:rPr>
            </w:pPr>
            <w:r w:rsidRPr="00301841">
              <w:rPr>
                <w:lang w:val="ru-RU"/>
              </w:rPr>
              <w:t>2) состав проектной документации;</w:t>
            </w:r>
          </w:p>
          <w:p w14:paraId="07EBDF8C" w14:textId="17352A2F" w:rsidR="00301841" w:rsidRPr="00301841" w:rsidRDefault="00301841" w:rsidP="00301841">
            <w:pPr>
              <w:rPr>
                <w:lang w:val="ru-RU"/>
              </w:rPr>
            </w:pPr>
            <w:r w:rsidRPr="00301841">
              <w:rPr>
                <w:lang w:val="ru-RU"/>
              </w:rPr>
              <w:t>3) содержание проектной документации;</w:t>
            </w:r>
          </w:p>
          <w:p w14:paraId="32BA0505" w14:textId="6D9FFC6D" w:rsidR="00301841" w:rsidRPr="00301841" w:rsidRDefault="00301841" w:rsidP="00301841">
            <w:pPr>
              <w:rPr>
                <w:lang w:val="ru-RU"/>
              </w:rPr>
            </w:pPr>
            <w:r w:rsidRPr="00301841">
              <w:rPr>
                <w:lang w:val="ru-RU"/>
              </w:rPr>
              <w:t>4) оформление проектной документации;</w:t>
            </w:r>
          </w:p>
          <w:p w14:paraId="46A920D7" w14:textId="255F5A2C" w:rsidR="001D4EB1" w:rsidRPr="00301841" w:rsidRDefault="00301841" w:rsidP="00301841">
            <w:pPr>
              <w:rPr>
                <w:lang w:val="ru-RU"/>
              </w:rPr>
            </w:pPr>
            <w:r w:rsidRPr="00301841">
              <w:rPr>
                <w:lang w:val="ru-RU"/>
              </w:rPr>
              <w:t>5) последовательность приемки системы.</w:t>
            </w:r>
          </w:p>
        </w:tc>
      </w:tr>
      <w:tr w:rsidR="001D4EB1" w14:paraId="5E3069C0" w14:textId="77777777" w:rsidTr="000E6769">
        <w:tc>
          <w:tcPr>
            <w:tcW w:w="1560" w:type="dxa"/>
            <w:vMerge/>
          </w:tcPr>
          <w:p w14:paraId="16754FF7" w14:textId="77777777" w:rsidR="001D4EB1" w:rsidRPr="00301841" w:rsidRDefault="001D4EB1" w:rsidP="001D4EB1">
            <w:pPr>
              <w:rPr>
                <w:lang w:val="en-US"/>
              </w:rPr>
            </w:pPr>
          </w:p>
        </w:tc>
        <w:tc>
          <w:tcPr>
            <w:tcW w:w="2127" w:type="dxa"/>
            <w:vMerge/>
          </w:tcPr>
          <w:p w14:paraId="2D898302" w14:textId="479A26F4" w:rsidR="001D4EB1" w:rsidRPr="00301841" w:rsidRDefault="001D4EB1" w:rsidP="001D4EB1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6F4B853" w14:textId="4D5C6F1C" w:rsidR="001D4EB1" w:rsidRDefault="001D4EB1" w:rsidP="00097B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09" w:type="dxa"/>
          </w:tcPr>
          <w:p w14:paraId="109BF754" w14:textId="77777777" w:rsidR="008F1205" w:rsidRPr="008F1205" w:rsidRDefault="008F1205" w:rsidP="008F1205">
            <w:pPr>
              <w:rPr>
                <w:lang w:val="ru-RU"/>
              </w:rPr>
            </w:pPr>
            <w:r w:rsidRPr="008F1205">
              <w:rPr>
                <w:lang w:val="ru-RU"/>
              </w:rPr>
              <w:t>ГОСТ 28195. Оценка качества программных средств. Общие положения.</w:t>
            </w:r>
          </w:p>
          <w:p w14:paraId="0F73BA1F" w14:textId="75F54D09" w:rsidR="001D4EB1" w:rsidRDefault="008F1205" w:rsidP="001D4EB1">
            <w:pPr>
              <w:rPr>
                <w:lang w:val="ru-RU"/>
              </w:rPr>
            </w:pPr>
            <w:hyperlink r:id="rId14" w:history="1">
              <w:r w:rsidRPr="008F1205">
                <w:rPr>
                  <w:rStyle w:val="ad"/>
                  <w:lang w:val="ru-RU"/>
                </w:rPr>
                <w:t>http://docs.cntd.ru/document/1200009135</w:t>
              </w:r>
            </w:hyperlink>
          </w:p>
        </w:tc>
        <w:tc>
          <w:tcPr>
            <w:tcW w:w="3686" w:type="dxa"/>
          </w:tcPr>
          <w:p w14:paraId="606F8DA1" w14:textId="10CB32E9" w:rsidR="008F1205" w:rsidRPr="008F1205" w:rsidRDefault="008F1205" w:rsidP="00E1088E">
            <w:pPr>
              <w:rPr>
                <w:lang w:val="ru-RU"/>
              </w:rPr>
            </w:pPr>
            <w:r w:rsidRPr="008F1205">
              <w:rPr>
                <w:lang w:val="ru-RU"/>
              </w:rPr>
              <w:t>ГОСТ 28195-99 определяет общие положения по оценке качества</w:t>
            </w:r>
            <w:r>
              <w:rPr>
                <w:lang w:val="ru-RU"/>
              </w:rPr>
              <w:t xml:space="preserve"> </w:t>
            </w:r>
            <w:r w:rsidRPr="008F1205">
              <w:rPr>
                <w:lang w:val="ru-RU"/>
              </w:rPr>
              <w:t>программных систем, номенклатуру и применяемость характеристик качества. В нем отмечается, качество, основы которого формируются при проектировании и производстве программных систем, можно обеспечивать двумя</w:t>
            </w:r>
            <w:r w:rsidR="00E1088E">
              <w:rPr>
                <w:lang w:val="ru-RU"/>
              </w:rPr>
              <w:t xml:space="preserve"> </w:t>
            </w:r>
            <w:r w:rsidRPr="008F1205">
              <w:rPr>
                <w:lang w:val="ru-RU"/>
              </w:rPr>
              <w:t>методами:</w:t>
            </w:r>
          </w:p>
          <w:p w14:paraId="281E3762" w14:textId="5A2808A1" w:rsidR="008F1205" w:rsidRPr="008F1205" w:rsidRDefault="00E1088E" w:rsidP="00E1088E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8F1205" w:rsidRPr="008F1205">
              <w:rPr>
                <w:lang w:val="ru-RU"/>
              </w:rPr>
              <w:t xml:space="preserve"> при помощи применения регламентированных технологий и систем</w:t>
            </w:r>
            <w:r>
              <w:rPr>
                <w:lang w:val="ru-RU"/>
              </w:rPr>
              <w:t xml:space="preserve"> </w:t>
            </w:r>
            <w:r w:rsidR="008F1205" w:rsidRPr="008F1205">
              <w:rPr>
                <w:lang w:val="ru-RU"/>
              </w:rPr>
              <w:t>обеспечения качества процессов проектирования и производства, которые бы</w:t>
            </w:r>
            <w:r>
              <w:rPr>
                <w:lang w:val="ru-RU"/>
              </w:rPr>
              <w:t xml:space="preserve"> </w:t>
            </w:r>
            <w:r w:rsidR="008F1205" w:rsidRPr="008F1205">
              <w:rPr>
                <w:lang w:val="ru-RU"/>
              </w:rPr>
              <w:t>предотвращали дефекты и минимизировали ошибки и гарантировали требуемое качество ПО в процессе его создания;</w:t>
            </w:r>
          </w:p>
          <w:p w14:paraId="65B7FB4B" w14:textId="2313FD9B" w:rsidR="001D4EB1" w:rsidRDefault="00E1088E" w:rsidP="00E1088E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8F1205" w:rsidRPr="008F1205">
              <w:rPr>
                <w:lang w:val="ru-RU"/>
              </w:rPr>
              <w:t xml:space="preserve"> посредством использования итогового контроля и тестовых системных</w:t>
            </w:r>
            <w:r>
              <w:rPr>
                <w:lang w:val="ru-RU"/>
              </w:rPr>
              <w:t xml:space="preserve"> </w:t>
            </w:r>
            <w:r w:rsidR="008F1205" w:rsidRPr="008F1205">
              <w:rPr>
                <w:lang w:val="ru-RU"/>
              </w:rPr>
              <w:t>испытаний готовых программных продуктов с целью исключения из поставки</w:t>
            </w:r>
            <w:r>
              <w:rPr>
                <w:lang w:val="ru-RU"/>
              </w:rPr>
              <w:t xml:space="preserve"> </w:t>
            </w:r>
            <w:r w:rsidR="008F1205" w:rsidRPr="008F1205">
              <w:rPr>
                <w:lang w:val="ru-RU"/>
              </w:rPr>
              <w:t>и направления на доработку программных модулей, не соответствующих заданным показателям качества.</w:t>
            </w:r>
          </w:p>
        </w:tc>
      </w:tr>
      <w:tr w:rsidR="001D4EB1" w14:paraId="5C59C8F1" w14:textId="77777777" w:rsidTr="000E6769">
        <w:tc>
          <w:tcPr>
            <w:tcW w:w="1560" w:type="dxa"/>
            <w:vMerge/>
          </w:tcPr>
          <w:p w14:paraId="10306CDC" w14:textId="77777777" w:rsidR="001D4EB1" w:rsidRDefault="001D4EB1" w:rsidP="001D4EB1">
            <w:pPr>
              <w:rPr>
                <w:lang w:val="ru-RU"/>
              </w:rPr>
            </w:pPr>
          </w:p>
        </w:tc>
        <w:tc>
          <w:tcPr>
            <w:tcW w:w="2127" w:type="dxa"/>
            <w:vMerge/>
          </w:tcPr>
          <w:p w14:paraId="2CCCF64F" w14:textId="345A1C09" w:rsidR="001D4EB1" w:rsidRDefault="001D4EB1" w:rsidP="001D4EB1">
            <w:pPr>
              <w:rPr>
                <w:lang w:val="ru-RU"/>
              </w:rPr>
            </w:pPr>
          </w:p>
        </w:tc>
        <w:tc>
          <w:tcPr>
            <w:tcW w:w="567" w:type="dxa"/>
          </w:tcPr>
          <w:p w14:paraId="0FCD0CA9" w14:textId="6E1F6082" w:rsidR="001D4EB1" w:rsidRDefault="001D4EB1" w:rsidP="00097B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09" w:type="dxa"/>
          </w:tcPr>
          <w:p w14:paraId="447DF15A" w14:textId="77777777" w:rsidR="001D4EB1" w:rsidRDefault="00C82C3A" w:rsidP="001D4EB1">
            <w:pPr>
              <w:rPr>
                <w:lang w:val="ru-RU"/>
              </w:rPr>
            </w:pPr>
            <w:r w:rsidRPr="00C82C3A">
              <w:rPr>
                <w:lang w:val="ru-RU"/>
              </w:rPr>
              <w:t xml:space="preserve">ГОСТ Р ИСО/МЭК 12207-2010. Информационная технология. Системная и программная инженерия. Процессы жизненного цикла </w:t>
            </w:r>
            <w:r w:rsidRPr="00C82C3A">
              <w:rPr>
                <w:lang w:val="ru-RU"/>
              </w:rPr>
              <w:lastRenderedPageBreak/>
              <w:t>программных средств</w:t>
            </w:r>
          </w:p>
          <w:p w14:paraId="4E120BFD" w14:textId="655D4622" w:rsidR="00C82C3A" w:rsidRDefault="00C82C3A" w:rsidP="001D4EB1">
            <w:pPr>
              <w:rPr>
                <w:lang w:val="ru-RU"/>
              </w:rPr>
            </w:pPr>
            <w:hyperlink r:id="rId15" w:history="1">
              <w:r w:rsidRPr="00C82C3A">
                <w:rPr>
                  <w:rStyle w:val="ad"/>
                  <w:lang w:val="ru-RU"/>
                </w:rPr>
                <w:t>http://docs.cntd.ru/document/gost-r-iso-mek-12207-2010</w:t>
              </w:r>
            </w:hyperlink>
          </w:p>
        </w:tc>
        <w:tc>
          <w:tcPr>
            <w:tcW w:w="3686" w:type="dxa"/>
          </w:tcPr>
          <w:p w14:paraId="2562DA34" w14:textId="67E1FDD9" w:rsidR="001D4EB1" w:rsidRDefault="00C82C3A" w:rsidP="00C82C3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данном ГОСТе содержится </w:t>
            </w:r>
            <w:r w:rsidRPr="00C82C3A">
              <w:rPr>
                <w:lang w:val="ru-RU"/>
              </w:rPr>
              <w:t>един</w:t>
            </w:r>
            <w:r>
              <w:rPr>
                <w:lang w:val="ru-RU"/>
              </w:rPr>
              <w:t>ый</w:t>
            </w:r>
            <w:r w:rsidRPr="00C82C3A">
              <w:rPr>
                <w:lang w:val="ru-RU"/>
              </w:rPr>
              <w:t xml:space="preserve"> общекорпоративн</w:t>
            </w:r>
            <w:r>
              <w:rPr>
                <w:lang w:val="ru-RU"/>
              </w:rPr>
              <w:t>ый</w:t>
            </w:r>
            <w:r w:rsidRPr="00C82C3A">
              <w:rPr>
                <w:lang w:val="ru-RU"/>
              </w:rPr>
              <w:t xml:space="preserve"> стандарт, которым </w:t>
            </w:r>
            <w:r>
              <w:rPr>
                <w:lang w:val="ru-RU"/>
              </w:rPr>
              <w:t>пользуются</w:t>
            </w:r>
            <w:r w:rsidRPr="00C82C3A">
              <w:rPr>
                <w:lang w:val="ru-RU"/>
              </w:rPr>
              <w:t xml:space="preserve"> при возникновении любой задачи из тех, которые описаны в документе (будь это обучение пользователей, поставка ПО или любая </w:t>
            </w:r>
            <w:r w:rsidRPr="00C82C3A">
              <w:rPr>
                <w:lang w:val="ru-RU"/>
              </w:rPr>
              <w:lastRenderedPageBreak/>
              <w:t xml:space="preserve">другая активность в рамках </w:t>
            </w:r>
            <w:r>
              <w:rPr>
                <w:lang w:val="ru-RU"/>
              </w:rPr>
              <w:t xml:space="preserve">жизненного цикла </w:t>
            </w:r>
            <w:r w:rsidRPr="00C82C3A">
              <w:rPr>
                <w:lang w:val="ru-RU"/>
              </w:rPr>
              <w:t>ПО).</w:t>
            </w:r>
            <w:r>
              <w:rPr>
                <w:lang w:val="ru-RU"/>
              </w:rPr>
              <w:t xml:space="preserve"> </w:t>
            </w:r>
            <w:r w:rsidRPr="00C82C3A">
              <w:rPr>
                <w:lang w:val="ru-RU"/>
              </w:rPr>
              <w:t>Стандарт предполагает, что процессы состоят из работ, для которых определены задачи</w:t>
            </w:r>
            <w:r>
              <w:rPr>
                <w:lang w:val="ru-RU"/>
              </w:rPr>
              <w:t xml:space="preserve">, </w:t>
            </w:r>
            <w:r w:rsidRPr="00C82C3A">
              <w:rPr>
                <w:lang w:val="ru-RU"/>
              </w:rPr>
              <w:t>а также цели и результаты. Тем не менее, допускается адаптация процессов к особенностям организации</w:t>
            </w:r>
            <w:r>
              <w:rPr>
                <w:lang w:val="ru-RU"/>
              </w:rPr>
              <w:t>.</w:t>
            </w:r>
          </w:p>
        </w:tc>
      </w:tr>
    </w:tbl>
    <w:p w14:paraId="53E53199" w14:textId="77777777" w:rsidR="009C605B" w:rsidRPr="009C605B" w:rsidRDefault="009C605B">
      <w:pPr>
        <w:rPr>
          <w:lang w:val="ru-RU"/>
        </w:rPr>
      </w:pPr>
    </w:p>
    <w:sectPr w:rsidR="009C605B" w:rsidRPr="009C6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74ABA"/>
    <w:multiLevelType w:val="multilevel"/>
    <w:tmpl w:val="ED7C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5B"/>
    <w:rsid w:val="00072E4C"/>
    <w:rsid w:val="00097BE0"/>
    <w:rsid w:val="000E6769"/>
    <w:rsid w:val="001335E1"/>
    <w:rsid w:val="0016456D"/>
    <w:rsid w:val="001C3561"/>
    <w:rsid w:val="001D01D7"/>
    <w:rsid w:val="001D4EB1"/>
    <w:rsid w:val="00251447"/>
    <w:rsid w:val="002C4025"/>
    <w:rsid w:val="00301841"/>
    <w:rsid w:val="0034599F"/>
    <w:rsid w:val="003F21C3"/>
    <w:rsid w:val="00541C26"/>
    <w:rsid w:val="00553BA4"/>
    <w:rsid w:val="0060763B"/>
    <w:rsid w:val="00770C01"/>
    <w:rsid w:val="00784DA2"/>
    <w:rsid w:val="0087021C"/>
    <w:rsid w:val="008F1205"/>
    <w:rsid w:val="00940210"/>
    <w:rsid w:val="009C605B"/>
    <w:rsid w:val="00A32289"/>
    <w:rsid w:val="00B2685B"/>
    <w:rsid w:val="00B37921"/>
    <w:rsid w:val="00B8384E"/>
    <w:rsid w:val="00BD7222"/>
    <w:rsid w:val="00C518AA"/>
    <w:rsid w:val="00C60D3F"/>
    <w:rsid w:val="00C82C3A"/>
    <w:rsid w:val="00CC23B4"/>
    <w:rsid w:val="00DE009A"/>
    <w:rsid w:val="00DF7048"/>
    <w:rsid w:val="00E1088E"/>
    <w:rsid w:val="00F10062"/>
    <w:rsid w:val="00F4493B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CBDD"/>
  <w15:chartTrackingRefBased/>
  <w15:docId w15:val="{7FC5B559-9448-4A88-B202-B054E83A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table" w:styleId="ac">
    <w:name w:val="Table Grid"/>
    <w:basedOn w:val="a1"/>
    <w:uiPriority w:val="39"/>
    <w:rsid w:val="0016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B8384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83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standard/53815.html" TargetMode="External"/><Relationship Id="rId13" Type="http://schemas.openxmlformats.org/officeDocument/2006/relationships/hyperlink" Target="https://www.swrit.ru/gost-3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dards.ieee.org/standard/26511-2018.html" TargetMode="External"/><Relationship Id="rId12" Type="http://schemas.openxmlformats.org/officeDocument/2006/relationships/hyperlink" Target="https://standards.ieee.org/standard/14764-2006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so.org/ru/standard/35765.html" TargetMode="External"/><Relationship Id="rId11" Type="http://schemas.openxmlformats.org/officeDocument/2006/relationships/hyperlink" Target="https://standards.ieee.org/standard/1008-1987.html" TargetMode="External"/><Relationship Id="rId5" Type="http://schemas.openxmlformats.org/officeDocument/2006/relationships/hyperlink" Target="https://www.iso.org/standard/35733.html" TargetMode="External"/><Relationship Id="rId15" Type="http://schemas.openxmlformats.org/officeDocument/2006/relationships/hyperlink" Target="http://docs.cntd.ru/document/gost-r-iso-mek-12207-2010" TargetMode="External"/><Relationship Id="rId10" Type="http://schemas.openxmlformats.org/officeDocument/2006/relationships/hyperlink" Target="https://www.iso.org/standard/4514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dards.ieee.org/standard/1074-2006.html" TargetMode="External"/><Relationship Id="rId14" Type="http://schemas.openxmlformats.org/officeDocument/2006/relationships/hyperlink" Target="http://docs.cntd.ru/document/12000091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16</cp:revision>
  <dcterms:created xsi:type="dcterms:W3CDTF">2021-02-08T09:03:00Z</dcterms:created>
  <dcterms:modified xsi:type="dcterms:W3CDTF">2021-02-08T11:37:00Z</dcterms:modified>
</cp:coreProperties>
</file>