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Segoe UI Semibold" w:hAnsi="Segoe UI Semibold"/>
          <w:b/>
          <w:color w:val="104281"/>
          <w:sz w:val="68"/>
        </w:rPr>
        <w:t>MeroGuru</w:t>
      </w:r>
    </w:p>
    <w:p>
      <w:pPr>
        <w:spacing w:after="360"/>
      </w:pPr>
      <w:r>
        <w:rPr>
          <w:b w:val="0"/>
          <w:i w:val="0"/>
          <w:color w:val="52514E"/>
          <w:sz w:val="34"/>
        </w:rPr>
        <w:t>Security Assessment &amp; Remediation Report</w:t>
      </w:r>
    </w:p>
    <w:p>
      <w:r>
        <w:rPr>
          <w:b/>
          <w:sz w:val="20"/>
        </w:rPr>
        <w:t>Date</w:t>
        <w:tab/>
      </w:r>
      <w:r>
        <w:rPr>
          <w:color w:val="52514E"/>
          <w:sz w:val="20"/>
        </w:rPr>
        <w:t>16 September 2026</w:t>
        <w:br/>
      </w:r>
      <w:r>
        <w:rPr>
          <w:b/>
          <w:sz w:val="20"/>
        </w:rPr>
        <w:t>Commit</w:t>
        <w:tab/>
      </w:r>
      <w:r>
        <w:rPr>
          <w:color w:val="52514E"/>
          <w:sz w:val="20"/>
        </w:rPr>
        <w:t>52d136f  (branch master)</w:t>
        <w:br/>
      </w:r>
      <w:r>
        <w:rPr>
          <w:b/>
          <w:sz w:val="20"/>
        </w:rPr>
        <w:t>Scope</w:t>
        <w:tab/>
      </w:r>
      <w:r>
        <w:rPr>
          <w:color w:val="52514E"/>
          <w:sz w:val="20"/>
        </w:rPr>
        <w:t>3,435 LOC across API, brain service, workers, frontend, deployment</w:t>
        <w:br/>
      </w:r>
      <w:r>
        <w:rPr>
          <w:b/>
          <w:sz w:val="20"/>
        </w:rPr>
        <w:t>Status</w:t>
        <w:tab/>
      </w:r>
      <w:r>
        <w:rPr>
          <w:color w:val="52514E"/>
          <w:sz w:val="20"/>
        </w:rPr>
        <w:t>6 confirmed vulnerabilities — all remediated and verified</w:t>
        <w:br/>
      </w:r>
    </w:p>
    <w:p/>
    <w:p>
      <w:pPr>
        <w:jc w:val="center"/>
      </w:pPr>
      <w:r>
        <w:drawing>
          <wp:inline xmlns:a="http://schemas.openxmlformats.org/drawingml/2006/main" xmlns:pic="http://schemas.openxmlformats.org/drawingml/2006/picture">
            <wp:extent cx="6035040" cy="2514600"/>
            <wp:docPr id="1" name="Picture 1"/>
            <wp:cNvGraphicFramePr>
              <a:graphicFrameLocks noChangeAspect="1"/>
            </wp:cNvGraphicFramePr>
            <a:graphic>
              <a:graphicData uri="http://schemas.openxmlformats.org/drawingml/2006/picture">
                <pic:pic>
                  <pic:nvPicPr>
                    <pic:cNvPr id="0" name="fig_funnel.png"/>
                    <pic:cNvPicPr/>
                  </pic:nvPicPr>
                  <pic:blipFill>
                    <a:blip r:embed="rId9"/>
                    <a:stretch>
                      <a:fillRect/>
                    </a:stretch>
                  </pic:blipFill>
                  <pic:spPr>
                    <a:xfrm>
                      <a:off x="0" y="0"/>
                      <a:ext cx="6035040" cy="2514600"/>
                    </a:xfrm>
                    <a:prstGeom prst="rect"/>
                  </pic:spPr>
                </pic:pic>
              </a:graphicData>
            </a:graphic>
          </wp:inline>
        </w:drawing>
      </w:r>
    </w:p>
    <w:p>
      <w:pPr>
        <w:spacing w:after="240"/>
        <w:jc w:val="center"/>
      </w:pPr>
      <w:r>
        <w:rPr>
          <w:b w:val="0"/>
          <w:i/>
          <w:color w:val="898781"/>
          <w:sz w:val="17"/>
        </w:rPr>
        <w:t>Figure 1 — Verification outcome. Every candidate finding was carried through a six-gate false-positive review.</w:t>
      </w:r>
    </w:p>
    <w:p>
      <w:pPr>
        <w:spacing w:after="120"/>
      </w:pPr>
      <w:r>
        <w:rPr>
          <w:b w:val="0"/>
          <w:i w:val="0"/>
          <w:color w:val="52514E"/>
          <w:sz w:val="21"/>
        </w:rPr>
        <w:t>This report documents a security assessment of the MeroGuru self-hosted learning platform, a formal false-positive verification pass over its findings, and the remediation that followed. Every confirmed vulnerability has been fixed, and every original exploit re-run against the patched code to confirm it no longer works.</w:t>
      </w:r>
    </w:p>
    <w:p>
      <w:r>
        <w:br w:type="page"/>
      </w:r>
    </w:p>
    <w:p>
      <w:pPr>
        <w:pStyle w:val="Heading1"/>
      </w:pPr>
      <w:r>
        <w:t>Executive summary</w:t>
      </w:r>
    </w:p>
    <w:p>
      <w:pPr>
        <w:spacing w:after="120"/>
      </w:pPr>
      <w:r>
        <w:rPr>
          <w:b w:val="0"/>
          <w:i w:val="0"/>
          <w:color w:val="0B0B0B"/>
          <w:sz w:val="20"/>
        </w:rPr>
        <w:t>MeroGuru is an open-source, self-hosted, single-user adaptive learning platform: a FastAPI orchestrator, a stateless “brain” microservice, Celery workers, a React frontend, and Postgres, Redis and Ollama behind Docker Compose.</w:t>
      </w:r>
    </w:p>
    <w:p>
      <w:pPr>
        <w:spacing w:after="120"/>
      </w:pPr>
      <w:r>
        <w:rPr>
          <w:b w:val="0"/>
          <w:i w:val="0"/>
          <w:color w:val="0B0B0B"/>
          <w:sz w:val="20"/>
        </w:rPr>
        <w:t xml:space="preserve">One assumption is load-bearing for the entire design: </w:t>
      </w:r>
      <w:r>
        <w:rPr>
          <w:b/>
          <w:i w:val="0"/>
          <w:color w:val="0B0B0B"/>
          <w:sz w:val="20"/>
        </w:rPr>
        <w:t>“single-user self-hosted means no attacker.”</w:t>
      </w:r>
      <w:r>
        <w:rPr>
          <w:b w:val="0"/>
          <w:i w:val="0"/>
          <w:color w:val="0B0B0B"/>
          <w:sz w:val="20"/>
        </w:rPr>
        <w:t xml:space="preserve"> It fails in two directions — the user’s own browser and the local network — and every confirmed finding traces back to it.</w:t>
      </w:r>
    </w:p>
    <w:p>
      <w:pPr>
        <w:spacing w:after="120"/>
      </w:pPr>
      <w:r>
        <w:rPr>
          <w:b w:val="0"/>
          <w:i w:val="0"/>
          <w:color w:val="52514E"/>
          <w:sz w:val="20"/>
        </w:rPr>
        <w:t>That framing matters, because the code itself is well built. There is no SQL injection, no unsafe execution of any kind, XSS is handled correctly, and the AI guardrails are genuinely strong. The problems are architectural assumptions, not sloppy code.</w:t>
      </w:r>
    </w:p>
    <w:p>
      <w:pPr>
        <w:pStyle w:val="Heading2"/>
      </w:pPr>
      <w:r>
        <w:t>Result</w:t>
      </w:r>
    </w:p>
    <w:tbl>
      <w:tblPr>
        <w:tblStyle w:val="TableGrid"/>
        <w:tblW w:type="auto" w:w="0"/>
        <w:jc w:val="center"/>
        <w:tblLook w:firstColumn="1" w:firstRow="1" w:lastColumn="0" w:lastRow="0" w:noHBand="0" w:noVBand="1" w:val="04A0"/>
      </w:tblPr>
      <w:tblGrid>
        <w:gridCol w:w="4824"/>
        <w:gridCol w:w="4824"/>
      </w:tblGrid>
      <w:tr>
        <w:tc>
          <w:tcPr>
            <w:tcW w:type="dxa" w:w="6336"/>
            <w:shd w:val="clear" w:fill="104281"/>
          </w:tcPr>
          <w:p>
            <w:r/>
            <w:r>
              <w:rPr>
                <w:b/>
                <w:color w:val="FFFFFF"/>
                <w:sz w:val="18"/>
              </w:rPr>
              <w:t>Metric</w:t>
            </w:r>
          </w:p>
        </w:tc>
        <w:tc>
          <w:tcPr>
            <w:tcW w:type="dxa" w:w="3168"/>
            <w:shd w:val="clear" w:fill="104281"/>
          </w:tcPr>
          <w:p>
            <w:r/>
            <w:r>
              <w:rPr>
                <w:b/>
                <w:color w:val="FFFFFF"/>
                <w:sz w:val="18"/>
              </w:rPr>
              <w:t>Count</w:t>
            </w:r>
          </w:p>
        </w:tc>
      </w:tr>
      <w:tr>
        <w:tc>
          <w:tcPr>
            <w:tcW w:type="dxa" w:w="6336"/>
          </w:tcPr>
          <w:p>
            <w:r/>
            <w:r>
              <w:rPr>
                <w:sz w:val="18"/>
              </w:rPr>
              <w:t>Candidate findings examined</w:t>
            </w:r>
          </w:p>
        </w:tc>
        <w:tc>
          <w:tcPr>
            <w:tcW w:type="dxa" w:w="3168"/>
          </w:tcPr>
          <w:p>
            <w:r/>
            <w:r>
              <w:rPr>
                <w:sz w:val="18"/>
              </w:rPr>
              <w:t>14</w:t>
            </w:r>
          </w:p>
        </w:tc>
      </w:tr>
      <w:tr>
        <w:tc>
          <w:tcPr>
            <w:tcW w:type="dxa" w:w="6336"/>
          </w:tcPr>
          <w:p>
            <w:r/>
            <w:r>
              <w:rPr>
                <w:sz w:val="18"/>
              </w:rPr>
              <w:t>Confirmed TRUE POSITIVE</w:t>
            </w:r>
          </w:p>
        </w:tc>
        <w:tc>
          <w:tcPr>
            <w:tcW w:type="dxa" w:w="3168"/>
          </w:tcPr>
          <w:p>
            <w:r/>
            <w:r>
              <w:rPr>
                <w:sz w:val="18"/>
              </w:rPr>
              <w:t>6</w:t>
            </w:r>
          </w:p>
        </w:tc>
      </w:tr>
      <w:tr>
        <w:tc>
          <w:tcPr>
            <w:tcW w:type="dxa" w:w="6336"/>
          </w:tcPr>
          <w:p>
            <w:r/>
            <w:r>
              <w:rPr>
                <w:sz w:val="18"/>
              </w:rPr>
              <w:t>Rejected FALSE POSITIVE</w:t>
            </w:r>
          </w:p>
        </w:tc>
        <w:tc>
          <w:tcPr>
            <w:tcW w:type="dxa" w:w="3168"/>
          </w:tcPr>
          <w:p>
            <w:r/>
            <w:r>
              <w:rPr>
                <w:sz w:val="18"/>
              </w:rPr>
              <w:t>8</w:t>
            </w:r>
          </w:p>
        </w:tc>
      </w:tr>
      <w:tr>
        <w:tc>
          <w:tcPr>
            <w:tcW w:type="dxa" w:w="6336"/>
          </w:tcPr>
          <w:p>
            <w:r/>
            <w:r>
              <w:rPr>
                <w:sz w:val="18"/>
              </w:rPr>
              <w:t>Remediated and verified</w:t>
            </w:r>
          </w:p>
        </w:tc>
        <w:tc>
          <w:tcPr>
            <w:tcW w:type="dxa" w:w="3168"/>
          </w:tcPr>
          <w:p>
            <w:r/>
            <w:r>
              <w:rPr>
                <w:sz w:val="18"/>
              </w:rPr>
              <w:t>6 of 6</w:t>
            </w:r>
          </w:p>
        </w:tc>
      </w:tr>
    </w:tbl>
    <w:p>
      <w:pPr>
        <w:spacing w:after="40"/>
      </w:pPr>
    </w:p>
    <w:p>
      <w:pPr>
        <w:pStyle w:val="Heading2"/>
      </w:pPr>
      <w:r>
        <w:t>Methodology</w:t>
      </w:r>
    </w:p>
    <w:p>
      <w:pPr>
        <w:spacing w:after="120"/>
      </w:pPr>
      <w:r>
        <w:rPr>
          <w:b w:val="0"/>
          <w:i w:val="0"/>
          <w:color w:val="0B0B0B"/>
          <w:sz w:val="20"/>
        </w:rPr>
        <w:t>Manual review of all 3,435 lines, plus automated analysis: semgrep (security-audit, secrets, python, javascript, react, docker, owasp-top-ten), bandit, pip-audit, npm audit, trivy config, and gitleaks over the full commit history. Three runtime proof-of-concepts were built and executed.</w:t>
      </w:r>
    </w:p>
    <w:p>
      <w:pPr>
        <w:spacing w:after="120"/>
      </w:pPr>
      <w:r>
        <w:rPr>
          <w:b w:val="0"/>
          <w:i w:val="0"/>
          <w:color w:val="0B0B0B"/>
          <w:sz w:val="20"/>
        </w:rPr>
        <w:t>Findings were then put through the Trail of Bits fp-check false-positive methodology: data-flow analysis, exploitability verification, impact assessment, proof-of-concept creation, a thirteen-question devil’s advocate review, and a six-gate review before any verdict.</w:t>
      </w:r>
    </w:p>
    <w:p>
      <w:pPr>
        <w:spacing w:after="120"/>
      </w:pPr>
      <w:r>
        <w:rPr>
          <w:b/>
          <w:i w:val="0"/>
          <w:color w:val="0B0B0B"/>
          <w:sz w:val="20"/>
        </w:rPr>
        <w:t>The verification pass changed the result materially.</w:t>
      </w:r>
      <w:r>
        <w:rPr>
          <w:b w:val="0"/>
          <w:i w:val="0"/>
          <w:color w:val="0B0B0B"/>
          <w:sz w:val="20"/>
        </w:rPr>
        <w:t xml:space="preserve"> It disproved one finding outright with a runtime test, corrected severity on three, and reclassified five from vulnerabilities to hardening. The automated scanners were near-silent — every confirmed finding came from manual review.</w:t>
      </w:r>
    </w:p>
    <w:p>
      <w:pPr>
        <w:pStyle w:val="Heading1"/>
      </w:pPr>
      <w:r>
        <w:t>Findings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720"/>
            <w:shd w:val="clear" w:fill="104281"/>
          </w:tcPr>
          <w:p>
            <w:r/>
            <w:r>
              <w:rPr>
                <w:b/>
                <w:color w:val="FFFFFF"/>
                <w:sz w:val="18"/>
              </w:rPr>
              <w:t>ID</w:t>
            </w:r>
          </w:p>
        </w:tc>
        <w:tc>
          <w:tcPr>
            <w:tcW w:type="dxa" w:w="1296"/>
            <w:shd w:val="clear" w:fill="104281"/>
          </w:tcPr>
          <w:p>
            <w:r/>
            <w:r>
              <w:rPr>
                <w:b/>
                <w:color w:val="FFFFFF"/>
                <w:sz w:val="18"/>
              </w:rPr>
              <w:t>Severity</w:t>
            </w:r>
          </w:p>
        </w:tc>
        <w:tc>
          <w:tcPr>
            <w:tcW w:type="dxa" w:w="6192"/>
            <w:shd w:val="clear" w:fill="104281"/>
          </w:tcPr>
          <w:p>
            <w:r/>
            <w:r>
              <w:rPr>
                <w:b/>
                <w:color w:val="FFFFFF"/>
                <w:sz w:val="18"/>
              </w:rPr>
              <w:t>Finding</w:t>
            </w:r>
          </w:p>
        </w:tc>
        <w:tc>
          <w:tcPr>
            <w:tcW w:type="dxa" w:w="1296"/>
            <w:shd w:val="clear" w:fill="104281"/>
          </w:tcPr>
          <w:p>
            <w:r/>
            <w:r>
              <w:rPr>
                <w:b/>
                <w:color w:val="FFFFFF"/>
                <w:sz w:val="18"/>
              </w:rPr>
              <w:t>Status</w:t>
            </w:r>
          </w:p>
        </w:tc>
      </w:tr>
      <w:tr>
        <w:tc>
          <w:tcPr>
            <w:tcW w:type="dxa" w:w="720"/>
          </w:tcPr>
          <w:p>
            <w:r/>
            <w:r>
              <w:rPr>
                <w:sz w:val="18"/>
              </w:rPr>
              <w:t>V1</w:t>
            </w:r>
          </w:p>
        </w:tc>
        <w:tc>
          <w:tcPr>
            <w:tcW w:type="dxa" w:w="1296"/>
          </w:tcPr>
          <w:p>
            <w:r/>
            <w:r>
              <w:rPr>
                <w:sz w:val="18"/>
              </w:rPr>
              <w:t>Critical</w:t>
            </w:r>
          </w:p>
        </w:tc>
        <w:tc>
          <w:tcPr>
            <w:tcW w:type="dxa" w:w="6192"/>
          </w:tcPr>
          <w:p>
            <w:r/>
            <w:r>
              <w:rPr>
                <w:sz w:val="18"/>
              </w:rPr>
              <w:t>All service ports published on every interface; host firewall bypassed</w:t>
            </w:r>
          </w:p>
        </w:tc>
        <w:tc>
          <w:tcPr>
            <w:tcW w:type="dxa" w:w="1296"/>
          </w:tcPr>
          <w:p>
            <w:r/>
            <w:r>
              <w:rPr>
                <w:sz w:val="18"/>
              </w:rPr>
              <w:t>Fixed</w:t>
            </w:r>
          </w:p>
        </w:tc>
      </w:tr>
      <w:tr>
        <w:tc>
          <w:tcPr>
            <w:tcW w:type="dxa" w:w="720"/>
          </w:tcPr>
          <w:p>
            <w:r/>
            <w:r>
              <w:rPr>
                <w:sz w:val="18"/>
              </w:rPr>
              <w:t>V3</w:t>
            </w:r>
          </w:p>
        </w:tc>
        <w:tc>
          <w:tcPr>
            <w:tcW w:type="dxa" w:w="1296"/>
          </w:tcPr>
          <w:p>
            <w:r/>
            <w:r>
              <w:rPr>
                <w:sz w:val="18"/>
              </w:rPr>
              <w:t>Critical</w:t>
            </w:r>
          </w:p>
        </w:tc>
        <w:tc>
          <w:tcPr>
            <w:tcW w:type="dxa" w:w="6192"/>
          </w:tcPr>
          <w:p>
            <w:r/>
            <w:r>
              <w:rPr>
                <w:sz w:val="18"/>
              </w:rPr>
              <w:t>SSRF with response-body exfiltration via credential base_url</w:t>
            </w:r>
          </w:p>
        </w:tc>
        <w:tc>
          <w:tcPr>
            <w:tcW w:type="dxa" w:w="1296"/>
          </w:tcPr>
          <w:p>
            <w:r/>
            <w:r>
              <w:rPr>
                <w:sz w:val="18"/>
              </w:rPr>
              <w:t>Fixed</w:t>
            </w:r>
          </w:p>
        </w:tc>
      </w:tr>
      <w:tr>
        <w:tc>
          <w:tcPr>
            <w:tcW w:type="dxa" w:w="720"/>
          </w:tcPr>
          <w:p>
            <w:r/>
            <w:r>
              <w:rPr>
                <w:sz w:val="18"/>
              </w:rPr>
              <w:t>V4</w:t>
            </w:r>
          </w:p>
        </w:tc>
        <w:tc>
          <w:tcPr>
            <w:tcW w:type="dxa" w:w="1296"/>
          </w:tcPr>
          <w:p>
            <w:r/>
            <w:r>
              <w:rPr>
                <w:sz w:val="18"/>
              </w:rPr>
              <w:t>Critical</w:t>
            </w:r>
          </w:p>
        </w:tc>
        <w:tc>
          <w:tcPr>
            <w:tcW w:type="dxa" w:w="6192"/>
          </w:tcPr>
          <w:p>
            <w:r/>
            <w:r>
              <w:rPr>
                <w:sz w:val="18"/>
              </w:rPr>
              <w:t>Brain service is an unauthenticated SSRF proxy</w:t>
            </w:r>
          </w:p>
        </w:tc>
        <w:tc>
          <w:tcPr>
            <w:tcW w:type="dxa" w:w="1296"/>
          </w:tcPr>
          <w:p>
            <w:r/>
            <w:r>
              <w:rPr>
                <w:sz w:val="18"/>
              </w:rPr>
              <w:t>Fixed</w:t>
            </w:r>
          </w:p>
        </w:tc>
      </w:tr>
      <w:tr>
        <w:tc>
          <w:tcPr>
            <w:tcW w:type="dxa" w:w="720"/>
          </w:tcPr>
          <w:p>
            <w:r/>
            <w:r>
              <w:rPr>
                <w:sz w:val="18"/>
              </w:rPr>
              <w:t>V2</w:t>
            </w:r>
          </w:p>
        </w:tc>
        <w:tc>
          <w:tcPr>
            <w:tcW w:type="dxa" w:w="1296"/>
          </w:tcPr>
          <w:p>
            <w:r/>
            <w:r>
              <w:rPr>
                <w:sz w:val="18"/>
              </w:rPr>
              <w:t>High</w:t>
            </w:r>
          </w:p>
        </w:tc>
        <w:tc>
          <w:tcPr>
            <w:tcW w:type="dxa" w:w="6192"/>
          </w:tcPr>
          <w:p>
            <w:r/>
            <w:r>
              <w:rPr>
                <w:sz w:val="18"/>
              </w:rPr>
              <w:t>Wildcard CORS on an API with zero authentication</w:t>
            </w:r>
          </w:p>
        </w:tc>
        <w:tc>
          <w:tcPr>
            <w:tcW w:type="dxa" w:w="1296"/>
          </w:tcPr>
          <w:p>
            <w:r/>
            <w:r>
              <w:rPr>
                <w:sz w:val="18"/>
              </w:rPr>
              <w:t>Fixed</w:t>
            </w:r>
          </w:p>
        </w:tc>
      </w:tr>
      <w:tr>
        <w:tc>
          <w:tcPr>
            <w:tcW w:type="dxa" w:w="720"/>
          </w:tcPr>
          <w:p>
            <w:r/>
            <w:r>
              <w:rPr>
                <w:sz w:val="18"/>
              </w:rPr>
              <w:t>V5</w:t>
            </w:r>
          </w:p>
        </w:tc>
        <w:tc>
          <w:tcPr>
            <w:tcW w:type="dxa" w:w="1296"/>
          </w:tcPr>
          <w:p>
            <w:r/>
            <w:r>
              <w:rPr>
                <w:sz w:val="18"/>
              </w:rPr>
              <w:t>Medium</w:t>
            </w:r>
          </w:p>
        </w:tc>
        <w:tc>
          <w:tcPr>
            <w:tcW w:type="dxa" w:w="6192"/>
          </w:tcPr>
          <w:p>
            <w:r/>
            <w:r>
              <w:rPr>
                <w:sz w:val="18"/>
              </w:rPr>
              <w:t>Database password cannot be changed via .env</w:t>
            </w:r>
          </w:p>
        </w:tc>
        <w:tc>
          <w:tcPr>
            <w:tcW w:type="dxa" w:w="1296"/>
          </w:tcPr>
          <w:p>
            <w:r/>
            <w:r>
              <w:rPr>
                <w:sz w:val="18"/>
              </w:rPr>
              <w:t>Fixed</w:t>
            </w:r>
          </w:p>
        </w:tc>
      </w:tr>
      <w:tr>
        <w:tc>
          <w:tcPr>
            <w:tcW w:type="dxa" w:w="720"/>
          </w:tcPr>
          <w:p>
            <w:r/>
            <w:r>
              <w:rPr>
                <w:sz w:val="18"/>
              </w:rPr>
              <w:t>V6</w:t>
            </w:r>
          </w:p>
        </w:tc>
        <w:tc>
          <w:tcPr>
            <w:tcW w:type="dxa" w:w="1296"/>
          </w:tcPr>
          <w:p>
            <w:r/>
            <w:r>
              <w:rPr>
                <w:sz w:val="18"/>
              </w:rPr>
              <w:t>Medium</w:t>
            </w:r>
          </w:p>
        </w:tc>
        <w:tc>
          <w:tcPr>
            <w:tcW w:type="dxa" w:w="6192"/>
          </w:tcPr>
          <w:p>
            <w:r/>
            <w:r>
              <w:rPr>
                <w:sz w:val="18"/>
              </w:rPr>
              <w:t>No rate limiting or request-size limits</w:t>
            </w:r>
          </w:p>
        </w:tc>
        <w:tc>
          <w:tcPr>
            <w:tcW w:type="dxa" w:w="1296"/>
          </w:tcPr>
          <w:p>
            <w:r/>
            <w:r>
              <w:rPr>
                <w:sz w:val="18"/>
              </w:rPr>
              <w:t>Fixed</w:t>
            </w:r>
          </w:p>
        </w:tc>
      </w:tr>
    </w:tbl>
    <w:p>
      <w:pPr>
        <w:spacing w:after="40"/>
      </w:pPr>
    </w:p>
    <w:p>
      <w:pPr>
        <w:jc w:val="center"/>
      </w:pPr>
      <w:r>
        <w:drawing>
          <wp:inline xmlns:a="http://schemas.openxmlformats.org/drawingml/2006/main" xmlns:pic="http://schemas.openxmlformats.org/drawingml/2006/picture">
            <wp:extent cx="6035040" cy="2321169"/>
            <wp:docPr id="2" name="Picture 2"/>
            <wp:cNvGraphicFramePr>
              <a:graphicFrameLocks noChangeAspect="1"/>
            </wp:cNvGraphicFramePr>
            <a:graphic>
              <a:graphicData uri="http://schemas.openxmlformats.org/drawingml/2006/picture">
                <pic:pic>
                  <pic:nvPicPr>
                    <pic:cNvPr id="0" name="fig_chain.png"/>
                    <pic:cNvPicPr/>
                  </pic:nvPicPr>
                  <pic:blipFill>
                    <a:blip r:embed="rId10"/>
                    <a:stretch>
                      <a:fillRect/>
                    </a:stretch>
                  </pic:blipFill>
                  <pic:spPr>
                    <a:xfrm>
                      <a:off x="0" y="0"/>
                      <a:ext cx="6035040" cy="2321169"/>
                    </a:xfrm>
                    <a:prstGeom prst="rect"/>
                  </pic:spPr>
                </pic:pic>
              </a:graphicData>
            </a:graphic>
          </wp:inline>
        </w:drawing>
      </w:r>
    </w:p>
    <w:p>
      <w:pPr>
        <w:spacing w:after="240"/>
        <w:jc w:val="center"/>
      </w:pPr>
      <w:r>
        <w:rPr>
          <w:b w:val="0"/>
          <w:i/>
          <w:color w:val="898781"/>
          <w:sz w:val="17"/>
        </w:rPr>
        <w:t>Figure 2 — Exploit chain. V1 is the keystone; four other findings inherit their reachability from it.</w:t>
      </w:r>
    </w:p>
    <w:p>
      <w:r>
        <w:br w:type="page"/>
      </w:r>
    </w:p>
    <w:p>
      <w:pPr>
        <w:pStyle w:val="Heading1"/>
      </w:pPr>
      <w:r>
        <w:t>V1 — All service ports published on every interface</w:t>
      </w:r>
    </w:p>
    <w:p>
      <w:pPr>
        <w:spacing w:after="120"/>
      </w:pPr>
      <w:r>
        <w:rPr>
          <w:b/>
          <w:i w:val="0"/>
          <w:color w:val="0B0B0B"/>
          <w:sz w:val="20"/>
        </w:rPr>
        <w:t xml:space="preserve">Severity </w:t>
      </w:r>
      <w:r>
        <w:rPr>
          <w:b/>
          <w:i w:val="0"/>
          <w:color w:val="104281"/>
          <w:sz w:val="20"/>
        </w:rPr>
        <w:t>Critical</w:t>
      </w:r>
      <w:r>
        <w:rPr>
          <w:b/>
          <w:i w:val="0"/>
          <w:color w:val="0B0B0B"/>
          <w:sz w:val="20"/>
        </w:rPr>
        <w:t xml:space="preserve">    Component </w:t>
      </w:r>
      <w:r>
        <w:rPr>
          <w:rFonts w:ascii="Consolas" w:hAnsi="Consolas"/>
          <w:b w:val="0"/>
          <w:i w:val="0"/>
          <w:color w:val="0B0B0B"/>
          <w:sz w:val="19"/>
        </w:rPr>
        <w:t>docker-compose.yml</w:t>
      </w:r>
    </w:p>
    <w:p>
      <w:pPr>
        <w:pStyle w:val="Heading3"/>
      </w:pPr>
      <w:r>
        <w:t>Description</w:t>
      </w:r>
    </w:p>
    <w:p>
      <w:pPr>
        <w:spacing w:after="120"/>
      </w:pPr>
      <w:r>
        <w:rPr>
          <w:b w:val="0"/>
          <w:i w:val="0"/>
          <w:color w:val="0B0B0B"/>
          <w:sz w:val="20"/>
        </w:rPr>
        <w:t xml:space="preserve">The compose file published six ports — 5432, 6379, 11434, 8100, 8000 and 3000 — with no host-IP prefix. Docker defaults </w:t>
      </w:r>
      <w:r>
        <w:rPr>
          <w:rFonts w:ascii="Consolas" w:hAnsi="Consolas"/>
          <w:b w:val="0"/>
          <w:i w:val="0"/>
          <w:color w:val="0B0B0B"/>
          <w:sz w:val="19"/>
        </w:rPr>
        <w:t>HostIp</w:t>
      </w:r>
      <w:r>
        <w:rPr>
          <w:b w:val="0"/>
          <w:i w:val="0"/>
          <w:color w:val="0B0B0B"/>
          <w:sz w:val="20"/>
        </w:rPr>
        <w:t xml:space="preserve"> to </w:t>
      </w:r>
      <w:r>
        <w:rPr>
          <w:rFonts w:ascii="Consolas" w:hAnsi="Consolas"/>
          <w:b w:val="0"/>
          <w:i w:val="0"/>
          <w:color w:val="0B0B0B"/>
          <w:sz w:val="19"/>
        </w:rPr>
        <w:t>0.0.0.0</w:t>
      </w:r>
      <w:r>
        <w:rPr>
          <w:b w:val="0"/>
          <w:i w:val="0"/>
          <w:color w:val="0B0B0B"/>
          <w:sz w:val="20"/>
        </w:rPr>
        <w:t xml:space="preserve">, and installs DNAT rules in </w:t>
      </w:r>
      <w:r>
        <w:rPr>
          <w:rFonts w:ascii="Consolas" w:hAnsi="Consolas"/>
          <w:b w:val="0"/>
          <w:i w:val="0"/>
          <w:color w:val="0B0B0B"/>
          <w:sz w:val="19"/>
        </w:rPr>
        <w:t>nat/PREROUTING</w:t>
      </w:r>
      <w:r>
        <w:rPr>
          <w:b w:val="0"/>
          <w:i w:val="0"/>
          <w:color w:val="0B0B0B"/>
          <w:sz w:val="20"/>
        </w:rPr>
        <w:t xml:space="preserve"> which are evaluated </w:t>
      </w:r>
      <w:r>
        <w:rPr>
          <w:b w:val="0"/>
          <w:i/>
          <w:color w:val="0B0B0B"/>
          <w:sz w:val="20"/>
        </w:rPr>
        <w:t>before</w:t>
      </w:r>
      <w:r>
        <w:rPr>
          <w:b w:val="0"/>
          <w:i w:val="0"/>
          <w:color w:val="0B0B0B"/>
          <w:sz w:val="20"/>
        </w:rPr>
        <w:t xml:space="preserve"> the filter INPUT chain that </w:t>
      </w:r>
      <w:r>
        <w:rPr>
          <w:rFonts w:ascii="Consolas" w:hAnsi="Consolas"/>
          <w:b w:val="0"/>
          <w:i w:val="0"/>
          <w:color w:val="0B0B0B"/>
          <w:sz w:val="19"/>
        </w:rPr>
        <w:t>ufw</w:t>
      </w:r>
      <w:r>
        <w:rPr>
          <w:b w:val="0"/>
          <w:i w:val="0"/>
          <w:color w:val="0B0B0B"/>
          <w:sz w:val="20"/>
        </w:rPr>
        <w:t xml:space="preserve"> manages. A host firewall therefore would not contain it.</w:t>
      </w:r>
    </w:p>
    <w:p>
      <w:pPr>
        <w:spacing w:after="120"/>
      </w:pPr>
      <w:r>
        <w:rPr>
          <w:rFonts w:ascii="Consolas" w:hAnsi="Consolas"/>
          <w:b w:val="0"/>
          <w:i w:val="0"/>
          <w:color w:val="0B0B0B"/>
          <w:sz w:val="19"/>
        </w:rPr>
        <w:t>SECURITY.md</w:t>
      </w:r>
      <w:r>
        <w:rPr>
          <w:b w:val="0"/>
          <w:i w:val="0"/>
          <w:color w:val="0B0B0B"/>
          <w:sz w:val="20"/>
        </w:rPr>
        <w:t xml:space="preserve"> stated the opposite: “by default the app binds to localhost via Docker port mapping.” That claim was false, and self-hosters were relying on it.</w:t>
      </w:r>
    </w:p>
    <w:p>
      <w:pPr>
        <w:pStyle w:val="Heading3"/>
      </w:pPr>
      <w:r>
        <w:t>Impact</w:t>
      </w:r>
    </w:p>
    <w:p>
      <w:pPr>
        <w:spacing w:after="120"/>
      </w:pPr>
      <w:r>
        <w:rPr>
          <w:b w:val="0"/>
          <w:i w:val="0"/>
          <w:color w:val="0B0B0B"/>
          <w:sz w:val="20"/>
        </w:rPr>
        <w:t>Any host on the same network reached Postgres (password change-me), the unauthenticated API, and the unauthenticated brain service. This is the finding that converts every “local-only” assumption elsewhere in the design into a remote one.</w:t>
      </w:r>
    </w:p>
    <w:p>
      <w:pPr>
        <w:pStyle w:val="Heading3"/>
      </w:pPr>
      <w:r>
        <w:t>Caveat — unverified sub-claim</w:t>
      </w:r>
    </w:p>
    <w:p>
      <w:pPr>
        <w:spacing w:after="120"/>
      </w:pPr>
      <w:r>
        <w:rPr>
          <w:b w:val="0"/>
          <w:i w:val="0"/>
          <w:color w:val="52514E"/>
          <w:sz w:val="20"/>
        </w:rPr>
        <w:t>The Redis element of this finding is unverified. Redis protected-mode may refuse non-loopback connections when no password and no bind directive are configured, which would also mean the shipped Celery broker path needs an empirical test. Docker was not available in the assessment environment. This is recorded as unverified rather than asserted.</w:t>
      </w:r>
    </w:p>
    <w:p>
      <w:pPr>
        <w:pStyle w:val="Heading3"/>
      </w:pPr>
      <w:r>
        <w:t>Remediation</w:t>
      </w:r>
    </w:p>
    <w:p>
      <w:pPr>
        <w:spacing w:after="120"/>
      </w:pPr>
      <w:r>
        <w:rPr>
          <w:b w:val="0"/>
          <w:i w:val="0"/>
          <w:color w:val="0B0B0B"/>
          <w:sz w:val="20"/>
        </w:rPr>
        <w:t xml:space="preserve">All six mappings bound to </w:t>
      </w:r>
      <w:r>
        <w:rPr>
          <w:rFonts w:ascii="Consolas" w:hAnsi="Consolas"/>
          <w:b w:val="0"/>
          <w:i w:val="0"/>
          <w:color w:val="0B0B0B"/>
          <w:sz w:val="19"/>
        </w:rPr>
        <w:t>127.0.0.1</w:t>
      </w:r>
      <w:r>
        <w:rPr>
          <w:b w:val="0"/>
          <w:i w:val="0"/>
          <w:color w:val="0B0B0B"/>
          <w:sz w:val="20"/>
        </w:rPr>
        <w:t xml:space="preserve">. Verified by parsing the compose file: 6 of 6 loopback-bound. </w:t>
      </w:r>
      <w:r>
        <w:rPr>
          <w:rFonts w:ascii="Consolas" w:hAnsi="Consolas"/>
          <w:b w:val="0"/>
          <w:i w:val="0"/>
          <w:color w:val="0B0B0B"/>
          <w:sz w:val="19"/>
        </w:rPr>
        <w:t>SECURITY.md</w:t>
      </w:r>
      <w:r>
        <w:rPr>
          <w:b w:val="0"/>
          <w:i w:val="0"/>
          <w:color w:val="0B0B0B"/>
          <w:sz w:val="20"/>
        </w:rPr>
        <w:t xml:space="preserve"> rewritten to describe the real mechanism rather than repeat the false claim.</w:t>
      </w:r>
    </w:p>
    <w:p>
      <w:pPr>
        <w:pStyle w:val="Heading1"/>
      </w:pPr>
      <w:r>
        <w:t>V2 — Wildcard CORS on an API with zero authentication</w:t>
      </w:r>
    </w:p>
    <w:p>
      <w:pPr>
        <w:spacing w:after="120"/>
      </w:pPr>
      <w:r>
        <w:rPr>
          <w:b/>
          <w:i w:val="0"/>
          <w:color w:val="0B0B0B"/>
          <w:sz w:val="20"/>
        </w:rPr>
        <w:t xml:space="preserve">Severity </w:t>
      </w:r>
      <w:r>
        <w:rPr>
          <w:b/>
          <w:i w:val="0"/>
          <w:color w:val="2A78D6"/>
          <w:sz w:val="20"/>
        </w:rPr>
        <w:t>High</w:t>
      </w:r>
      <w:r>
        <w:rPr>
          <w:b w:val="0"/>
          <w:i w:val="0"/>
          <w:color w:val="898781"/>
          <w:sz w:val="20"/>
        </w:rPr>
        <w:t xml:space="preserve">  (corrected from Critical during verification)</w:t>
      </w:r>
      <w:r>
        <w:rPr>
          <w:b/>
          <w:i w:val="0"/>
          <w:color w:val="0B0B0B"/>
          <w:sz w:val="20"/>
        </w:rPr>
        <w:t xml:space="preserve">    Component </w:t>
      </w:r>
      <w:r>
        <w:rPr>
          <w:rFonts w:ascii="Consolas" w:hAnsi="Consolas"/>
          <w:b w:val="0"/>
          <w:i w:val="0"/>
          <w:color w:val="0B0B0B"/>
          <w:sz w:val="19"/>
        </w:rPr>
        <w:t>apps/api/app/main.py:12</w:t>
      </w:r>
    </w:p>
    <w:p>
      <w:pPr>
        <w:pStyle w:val="Heading3"/>
      </w:pPr>
      <w:r>
        <w:t>Description</w:t>
      </w:r>
    </w:p>
    <w:p>
      <w:pPr>
        <w:spacing w:after="120"/>
      </w:pPr>
      <w:r>
        <w:rPr>
          <w:b w:val="0"/>
          <w:i w:val="0"/>
          <w:color w:val="0B0B0B"/>
          <w:sz w:val="20"/>
        </w:rPr>
        <w:t xml:space="preserve">The API set </w:t>
      </w:r>
      <w:r>
        <w:rPr>
          <w:rFonts w:ascii="Consolas" w:hAnsi="Consolas"/>
          <w:b w:val="0"/>
          <w:i w:val="0"/>
          <w:color w:val="0B0B0B"/>
          <w:sz w:val="19"/>
        </w:rPr>
        <w:t>allow_origins=["*"]</w:t>
      </w:r>
      <w:r>
        <w:rPr>
          <w:b w:val="0"/>
          <w:i w:val="0"/>
          <w:color w:val="0B0B0B"/>
          <w:sz w:val="20"/>
        </w:rPr>
        <w:t xml:space="preserve"> with wildcard methods and headers. A grep for every authentication primitive across the API, brain, packages and workers returned </w:t>
      </w:r>
      <w:r>
        <w:rPr>
          <w:b/>
          <w:i w:val="0"/>
          <w:color w:val="0B0B0B"/>
          <w:sz w:val="20"/>
        </w:rPr>
        <w:t>zero hits</w:t>
      </w:r>
      <w:r>
        <w:rPr>
          <w:b w:val="0"/>
          <w:i w:val="0"/>
          <w:color w:val="0B0B0B"/>
          <w:sz w:val="20"/>
        </w:rPr>
        <w:t xml:space="preserve"> — there is no authentication anywhere. The source comment justified the wildcard as “no cross-user data to protect,” which answers the wrong threat: the risk is cross-origin, not cross-user.</w:t>
      </w:r>
    </w:p>
    <w:p>
      <w:pPr>
        <w:pStyle w:val="Heading3"/>
      </w:pPr>
      <w:r>
        <w:t>Environmental mitigation</w:t>
      </w:r>
    </w:p>
    <w:p>
      <w:pPr>
        <w:spacing w:after="120"/>
      </w:pPr>
      <w:r>
        <w:rPr>
          <w:b w:val="0"/>
          <w:i w:val="0"/>
          <w:color w:val="0B0B0B"/>
          <w:sz w:val="20"/>
        </w:rPr>
        <w:t>Stated precisely, because it lowered this finding’s severity: Chrome 142+ and Firefox now gate public-origin requests to loopback behind a Local Network Access permission prompt, and Starlette’s CORS middleware emits none of the required headers. Safari grants local network access implicitly, with no prompt.</w:t>
      </w:r>
    </w:p>
    <w:p>
      <w:pPr>
        <w:spacing w:after="120"/>
      </w:pPr>
      <w:r>
        <w:rPr>
          <w:b w:val="0"/>
          <w:i w:val="0"/>
          <w:color w:val="52514E"/>
          <w:sz w:val="20"/>
        </w:rPr>
        <w:t>So the drive-by path is permission-gated in Chrome and Firefox, but unmitigated in Safari and for any attacker page already inside the local address space.</w:t>
      </w:r>
    </w:p>
    <w:p>
      <w:pPr>
        <w:pStyle w:val="Heading3"/>
      </w:pPr>
      <w:r>
        <w:t>Remediation</w:t>
      </w:r>
    </w:p>
    <w:p>
      <w:pPr>
        <w:spacing w:after="120"/>
      </w:pPr>
      <w:r>
        <w:rPr>
          <w:b w:val="0"/>
          <w:i w:val="0"/>
          <w:color w:val="0B0B0B"/>
          <w:sz w:val="20"/>
        </w:rPr>
        <w:t xml:space="preserve">Replaced with an explicit allowlist derived from </w:t>
      </w:r>
      <w:r>
        <w:rPr>
          <w:rFonts w:ascii="Consolas" w:hAnsi="Consolas"/>
          <w:b w:val="0"/>
          <w:i w:val="0"/>
          <w:color w:val="0B0B0B"/>
          <w:sz w:val="19"/>
        </w:rPr>
        <w:t>APP_BASE_URL</w:t>
      </w:r>
      <w:r>
        <w:rPr>
          <w:b w:val="0"/>
          <w:i w:val="0"/>
          <w:color w:val="0B0B0B"/>
          <w:sz w:val="20"/>
        </w:rPr>
        <w:t xml:space="preserve"> plus optional </w:t>
      </w:r>
      <w:r>
        <w:rPr>
          <w:rFonts w:ascii="Consolas" w:hAnsi="Consolas"/>
          <w:b w:val="0"/>
          <w:i w:val="0"/>
          <w:color w:val="0B0B0B"/>
          <w:sz w:val="19"/>
        </w:rPr>
        <w:t>CORS_EXTRA_ORIGINS</w:t>
      </w:r>
      <w:r>
        <w:rPr>
          <w:b w:val="0"/>
          <w:i w:val="0"/>
          <w:color w:val="0B0B0B"/>
          <w:sz w:val="20"/>
        </w:rPr>
        <w:t xml:space="preserve">; methods narrowed to GET/POST/DELETE/OPTIONS and headers to Accept/Content-Type. Verified: a hostile origin now receives no </w:t>
      </w:r>
      <w:r>
        <w:rPr>
          <w:rFonts w:ascii="Consolas" w:hAnsi="Consolas"/>
          <w:b w:val="0"/>
          <w:i w:val="0"/>
          <w:color w:val="0B0B0B"/>
          <w:sz w:val="19"/>
        </w:rPr>
        <w:t>Access-Control-Allow-Origin</w:t>
      </w:r>
      <w:r>
        <w:rPr>
          <w:b w:val="0"/>
          <w:i w:val="0"/>
          <w:color w:val="0B0B0B"/>
          <w:sz w:val="20"/>
        </w:rPr>
        <w:t xml:space="preserve"> header at all, while the legitimate frontend origin still works. semgrep’s wildcard-cors rule is cleared.</w:t>
      </w:r>
    </w:p>
    <w:p>
      <w:r>
        <w:br w:type="page"/>
      </w:r>
    </w:p>
    <w:p>
      <w:pPr>
        <w:pStyle w:val="Heading1"/>
      </w:pPr>
      <w:r>
        <w:t>V3 — SSRF with response-body exfiltration</w:t>
      </w:r>
    </w:p>
    <w:p>
      <w:pPr>
        <w:spacing w:after="120"/>
      </w:pPr>
      <w:r>
        <w:rPr>
          <w:b/>
          <w:i w:val="0"/>
          <w:color w:val="0B0B0B"/>
          <w:sz w:val="20"/>
        </w:rPr>
        <w:t xml:space="preserve">Severity </w:t>
      </w:r>
      <w:r>
        <w:rPr>
          <w:b/>
          <w:i w:val="0"/>
          <w:color w:val="104281"/>
          <w:sz w:val="20"/>
        </w:rPr>
        <w:t>Critical</w:t>
      </w:r>
      <w:r>
        <w:rPr>
          <w:b/>
          <w:i w:val="0"/>
          <w:color w:val="0B0B0B"/>
          <w:sz w:val="20"/>
        </w:rPr>
        <w:t xml:space="preserve">    Components </w:t>
      </w:r>
      <w:r>
        <w:rPr>
          <w:rFonts w:ascii="Consolas" w:hAnsi="Consolas"/>
          <w:b w:val="0"/>
          <w:i w:val="0"/>
          <w:color w:val="0B0B0B"/>
          <w:sz w:val="19"/>
        </w:rPr>
        <w:t>schemas/credential.py · registry.py · openai_compatible.py · workers/tasks.py</w:t>
      </w:r>
    </w:p>
    <w:p>
      <w:pPr>
        <w:jc w:val="center"/>
      </w:pPr>
      <w:r>
        <w:drawing>
          <wp:inline xmlns:a="http://schemas.openxmlformats.org/drawingml/2006/main" xmlns:pic="http://schemas.openxmlformats.org/drawingml/2006/picture">
            <wp:extent cx="6035040" cy="2095500"/>
            <wp:docPr id="3" name="Picture 3"/>
            <wp:cNvGraphicFramePr>
              <a:graphicFrameLocks noChangeAspect="1"/>
            </wp:cNvGraphicFramePr>
            <a:graphic>
              <a:graphicData uri="http://schemas.openxmlformats.org/drawingml/2006/picture">
                <pic:pic>
                  <pic:nvPicPr>
                    <pic:cNvPr id="0" name="fig_flow.png"/>
                    <pic:cNvPicPr/>
                  </pic:nvPicPr>
                  <pic:blipFill>
                    <a:blip r:embed="rId11"/>
                    <a:stretch>
                      <a:fillRect/>
                    </a:stretch>
                  </pic:blipFill>
                  <pic:spPr>
                    <a:xfrm>
                      <a:off x="0" y="0"/>
                      <a:ext cx="6035040" cy="2095500"/>
                    </a:xfrm>
                    <a:prstGeom prst="rect"/>
                  </pic:spPr>
                </pic:pic>
              </a:graphicData>
            </a:graphic>
          </wp:inline>
        </w:drawing>
      </w:r>
    </w:p>
    <w:p>
      <w:pPr>
        <w:spacing w:after="240"/>
        <w:jc w:val="center"/>
      </w:pPr>
      <w:r>
        <w:rPr>
          <w:b w:val="0"/>
          <w:i/>
          <w:color w:val="898781"/>
          <w:sz w:val="17"/>
        </w:rPr>
        <w:t>Figure 3 — The V3 path, and what the same error looks like after remediation.</w:t>
      </w:r>
    </w:p>
    <w:p>
      <w:pPr>
        <w:pStyle w:val="Heading3"/>
      </w:pPr>
      <w:r>
        <w:t>Description</w:t>
      </w:r>
    </w:p>
    <w:p>
      <w:pPr>
        <w:spacing w:after="120"/>
      </w:pPr>
      <w:r>
        <w:rPr>
          <w:rFonts w:ascii="Consolas" w:hAnsi="Consolas"/>
          <w:b w:val="0"/>
          <w:i w:val="0"/>
          <w:color w:val="0B0B0B"/>
          <w:sz w:val="19"/>
        </w:rPr>
        <w:t>CredentialCreate.base_url</w:t>
      </w:r>
      <w:r>
        <w:rPr>
          <w:b w:val="0"/>
          <w:i w:val="0"/>
          <w:color w:val="0B0B0B"/>
          <w:sz w:val="20"/>
        </w:rPr>
        <w:t xml:space="preserve"> had no scheme or host validation and flowed straight to httpx. The upstream error text was then reflected back: the provider raised an error embedding </w:t>
      </w:r>
      <w:r>
        <w:rPr>
          <w:rFonts w:ascii="Consolas" w:hAnsi="Consolas"/>
          <w:b w:val="0"/>
          <w:i w:val="0"/>
          <w:color w:val="0B0B0B"/>
          <w:sz w:val="19"/>
        </w:rPr>
        <w:t>resp.text[:500]</w:t>
      </w:r>
      <w:r>
        <w:rPr>
          <w:b w:val="0"/>
          <w:i w:val="0"/>
          <w:color w:val="0B0B0B"/>
          <w:sz w:val="20"/>
        </w:rPr>
        <w:t xml:space="preserve">, which was not caught by the concept-map handler, propagated to the generic worker handler, and was stored in </w:t>
      </w:r>
      <w:r>
        <w:rPr>
          <w:rFonts w:ascii="Consolas" w:hAnsi="Consolas"/>
          <w:b w:val="0"/>
          <w:i w:val="0"/>
          <w:color w:val="0B0B0B"/>
          <w:sz w:val="19"/>
        </w:rPr>
        <w:t>job.error_summary</w:t>
      </w:r>
      <w:r>
        <w:rPr>
          <w:b w:val="0"/>
          <w:i w:val="0"/>
          <w:color w:val="0B0B0B"/>
          <w:sz w:val="20"/>
        </w:rPr>
        <w:t xml:space="preserve"> — readable through an unauthenticated endpoint.</w:t>
      </w:r>
    </w:p>
    <w:p>
      <w:pPr>
        <w:spacing w:after="120"/>
      </w:pPr>
      <w:r>
        <w:rPr>
          <w:b w:val="0"/>
          <w:i w:val="0"/>
          <w:color w:val="0B0B0B"/>
          <w:sz w:val="20"/>
        </w:rPr>
        <w:t>The full chain required no authentication at any step:</w:t>
      </w:r>
    </w:p>
    <w:tbl>
      <w:tblPr>
        <w:tblW w:type="auto" w:w="0"/>
        <w:tblLook w:firstColumn="1" w:firstRow="1" w:lastColumn="0" w:lastRow="0" w:noHBand="0" w:noVBand="1" w:val="04A0"/>
      </w:tblPr>
      <w:tblGrid>
        <w:gridCol w:w="9648"/>
      </w:tblGrid>
      <w:tr>
        <w:tc>
          <w:tcPr>
            <w:tcW w:type="dxa" w:w="9648"/>
            <w:shd w:val="clear" w:fill="F4F2EC"/>
          </w:tcPr>
          <w:p>
            <w:pPr>
              <w:spacing w:after="0" w:line="240" w:lineRule="auto"/>
            </w:pPr>
            <w:r/>
            <w:r>
              <w:rPr>
                <w:rFonts w:ascii="Consolas" w:hAnsi="Consolas"/>
                <w:color w:val="52514E"/>
                <w:sz w:val="16"/>
              </w:rPr>
              <w:t>POST /api/v1/goals</w:t>
            </w:r>
          </w:p>
          <w:p>
            <w:pPr>
              <w:spacing w:after="0" w:line="240" w:lineRule="auto"/>
            </w:pPr>
            <w:r>
              <w:rPr>
                <w:rFonts w:ascii="Consolas" w:hAnsi="Consolas"/>
                <w:color w:val="52514E"/>
                <w:sz w:val="16"/>
              </w:rPr>
              <w:t>POST /api/v1/credentials      base_url = http://169.254.169.254/latest</w:t>
            </w:r>
          </w:p>
          <w:p>
            <w:pPr>
              <w:spacing w:after="0" w:line="240" w:lineRule="auto"/>
            </w:pPr>
            <w:r>
              <w:rPr>
                <w:rFonts w:ascii="Consolas" w:hAnsi="Consolas"/>
                <w:color w:val="52514E"/>
                <w:sz w:val="16"/>
              </w:rPr>
              <w:t>POST /api/v1/goals/{id}/generate-plan</w:t>
            </w:r>
          </w:p>
          <w:p>
            <w:pPr>
              <w:spacing w:after="0" w:line="240" w:lineRule="auto"/>
            </w:pPr>
            <w:r>
              <w:rPr>
                <w:rFonts w:ascii="Consolas" w:hAnsi="Consolas"/>
                <w:color w:val="52514E"/>
                <w:sz w:val="16"/>
              </w:rPr>
              <w:t>GET  /api/v1/jobs/{job_id}    -&gt; internal response body</w:t>
            </w:r>
          </w:p>
        </w:tc>
      </w:tr>
    </w:tbl>
    <w:p>
      <w:pPr>
        <w:spacing w:after="40"/>
      </w:pPr>
    </w:p>
    <w:p>
      <w:pPr>
        <w:pStyle w:val="Heading3"/>
      </w:pPr>
      <w:r>
        <w:t>Evidence</w:t>
      </w:r>
    </w:p>
    <w:p>
      <w:pPr>
        <w:spacing w:after="120"/>
      </w:pPr>
      <w:r>
        <w:rPr>
          <w:b w:val="0"/>
          <w:i w:val="0"/>
          <w:color w:val="0B0B0B"/>
          <w:sz w:val="20"/>
        </w:rPr>
        <w:t>Executable proof-of-concept, run against the original code:</w:t>
      </w:r>
    </w:p>
    <w:tbl>
      <w:tblPr>
        <w:tblW w:type="auto" w:w="0"/>
        <w:tblLook w:firstColumn="1" w:firstRow="1" w:lastColumn="0" w:lastRow="0" w:noHBand="0" w:noVBand="1" w:val="04A0"/>
      </w:tblPr>
      <w:tblGrid>
        <w:gridCol w:w="9648"/>
      </w:tblGrid>
      <w:tr>
        <w:tc>
          <w:tcPr>
            <w:tcW w:type="dxa" w:w="9648"/>
            <w:shd w:val="clear" w:fill="F4F2EC"/>
          </w:tcPr>
          <w:p>
            <w:pPr>
              <w:spacing w:after="0" w:line="240" w:lineRule="auto"/>
            </w:pPr>
            <w:r/>
            <w:r>
              <w:rPr>
                <w:rFonts w:ascii="Consolas" w:hAnsi="Consolas"/>
                <w:color w:val="52514E"/>
                <w:sz w:val="16"/>
              </w:rPr>
              <w:t>job.error_summary : provider error 403: {"internal":"db_password=s3cr3t-prod-pw;</w:t>
            </w:r>
          </w:p>
          <w:p>
            <w:pPr>
              <w:spacing w:after="0" w:line="240" w:lineRule="auto"/>
            </w:pPr>
            <w:r>
              <w:rPr>
                <w:rFonts w:ascii="Consolas" w:hAnsi="Consolas"/>
                <w:color w:val="52514E"/>
                <w:sz w:val="16"/>
              </w:rPr>
              <w:t xml:space="preserve">                    aws_session_token=ASIA..."}</w:t>
            </w:r>
          </w:p>
        </w:tc>
      </w:tr>
    </w:tbl>
    <w:p>
      <w:pPr>
        <w:spacing w:after="40"/>
      </w:pPr>
    </w:p>
    <w:p>
      <w:pPr>
        <w:pStyle w:val="Heading3"/>
      </w:pPr>
      <w:r>
        <w:t>Preconditions</w:t>
      </w:r>
    </w:p>
    <w:p>
      <w:pPr>
        <w:spacing w:after="120"/>
      </w:pPr>
      <w:r>
        <w:rPr>
          <w:b w:val="0"/>
          <w:i w:val="0"/>
          <w:color w:val="52514E"/>
          <w:sz w:val="20"/>
        </w:rPr>
        <w:t>Documented honestly, because they bound the finding. An attacker who is not the operator needs V1 or V2 to reach the endpoint at all — a custom base_url is the documented feature of the openai_compatible provider. And the encryption key must be validly configured, because credential creation encrypts the secret first; a deployment left on the shipped placeholder is incidentally immune.</w:t>
      </w:r>
    </w:p>
    <w:p>
      <w:pPr>
        <w:pStyle w:val="Heading3"/>
      </w:pPr>
      <w:r>
        <w:t>Remediation</w:t>
      </w:r>
    </w:p>
    <w:p>
      <w:pPr>
        <w:spacing w:after="120"/>
      </w:pPr>
      <w:r>
        <w:rPr>
          <w:b w:val="0"/>
          <w:i w:val="0"/>
          <w:color w:val="0B0B0B"/>
          <w:sz w:val="20"/>
        </w:rPr>
        <w:t xml:space="preserve">A new shared guard, </w:t>
      </w:r>
      <w:r>
        <w:rPr>
          <w:rFonts w:ascii="Consolas" w:hAnsi="Consolas"/>
          <w:b w:val="0"/>
          <w:i w:val="0"/>
          <w:color w:val="0B0B0B"/>
          <w:sz w:val="19"/>
        </w:rPr>
        <w:t>packages/ai_providers/url_guard.py</w:t>
      </w:r>
      <w:r>
        <w:rPr>
          <w:b w:val="0"/>
          <w:i w:val="0"/>
          <w:color w:val="0B0B0B"/>
          <w:sz w:val="20"/>
        </w:rPr>
        <w:t>, screens every caller-supplied URL at the single choke point both services use. Link-local metadata ranges are refused for every provider; loopback, private and reserved addresses are refused for remote providers but permitted for Ollama, whose purpose is local inference. Every DNS answer is checked, not just the first. The URL is also screened at the API boundary, since credential creation never built a provider and would otherwise have stored a hostile value.</w:t>
      </w:r>
    </w:p>
    <w:p>
      <w:pPr>
        <w:spacing w:after="120"/>
      </w:pPr>
      <w:r>
        <w:rPr>
          <w:b w:val="0"/>
          <w:i w:val="0"/>
          <w:color w:val="0B0B0B"/>
          <w:sz w:val="20"/>
        </w:rPr>
        <w:t xml:space="preserve">Separately, upstream response bodies are no longer reflected into error strings. They are logged for the operator instead, so </w:t>
      </w:r>
      <w:r>
        <w:rPr>
          <w:rFonts w:ascii="Consolas" w:hAnsi="Consolas"/>
          <w:b w:val="0"/>
          <w:i w:val="0"/>
          <w:color w:val="0B0B0B"/>
          <w:sz w:val="19"/>
        </w:rPr>
        <w:t>job.error_summary</w:t>
      </w:r>
      <w:r>
        <w:rPr>
          <w:b w:val="0"/>
          <w:i w:val="0"/>
          <w:color w:val="0B0B0B"/>
          <w:sz w:val="20"/>
        </w:rPr>
        <w:t xml:space="preserve"> now reads simply </w:t>
      </w:r>
      <w:r>
        <w:rPr>
          <w:rFonts w:ascii="Consolas" w:hAnsi="Consolas"/>
          <w:b w:val="0"/>
          <w:i w:val="0"/>
          <w:color w:val="0B0B0B"/>
          <w:sz w:val="19"/>
        </w:rPr>
        <w:t>provider error 403</w:t>
      </w:r>
      <w:r>
        <w:rPr>
          <w:b w:val="0"/>
          <w:i w:val="0"/>
          <w:color w:val="0B0B0B"/>
          <w:sz w:val="20"/>
        </w:rPr>
        <w:t>.</w:t>
      </w:r>
    </w:p>
    <w:p>
      <w:pPr>
        <w:pStyle w:val="Heading1"/>
      </w:pPr>
      <w:r>
        <w:t>V4 — Brain service is an unauthenticated SSRF proxy</w:t>
      </w:r>
    </w:p>
    <w:p>
      <w:pPr>
        <w:spacing w:after="120"/>
      </w:pPr>
      <w:r>
        <w:rPr>
          <w:b/>
          <w:i w:val="0"/>
          <w:color w:val="0B0B0B"/>
          <w:sz w:val="20"/>
        </w:rPr>
        <w:t xml:space="preserve">Severity </w:t>
      </w:r>
      <w:r>
        <w:rPr>
          <w:b/>
          <w:i w:val="0"/>
          <w:color w:val="104281"/>
          <w:sz w:val="20"/>
        </w:rPr>
        <w:t>Critical</w:t>
      </w:r>
      <w:r>
        <w:rPr>
          <w:b/>
          <w:i w:val="0"/>
          <w:color w:val="0B0B0B"/>
          <w:sz w:val="20"/>
        </w:rPr>
        <w:t xml:space="preserve">    Component </w:t>
      </w:r>
      <w:r>
        <w:rPr>
          <w:rFonts w:ascii="Consolas" w:hAnsi="Consolas"/>
          <w:b w:val="0"/>
          <w:i w:val="0"/>
          <w:color w:val="0B0B0B"/>
          <w:sz w:val="19"/>
        </w:rPr>
        <w:t>apps/brain/app/main.py</w:t>
      </w:r>
    </w:p>
    <w:p>
      <w:pPr>
        <w:pStyle w:val="Heading3"/>
      </w:pPr>
      <w:r>
        <w:t>Description</w:t>
      </w:r>
    </w:p>
    <w:p>
      <w:pPr>
        <w:spacing w:after="120"/>
      </w:pPr>
      <w:r>
        <w:rPr>
          <w:rFonts w:ascii="Consolas" w:hAnsi="Consolas"/>
          <w:b w:val="0"/>
          <w:i w:val="0"/>
          <w:color w:val="0B0B0B"/>
          <w:sz w:val="19"/>
        </w:rPr>
        <w:t>POST /brain/v1/adapt</w:t>
      </w:r>
      <w:r>
        <w:rPr>
          <w:b w:val="0"/>
          <w:i w:val="0"/>
          <w:color w:val="0B0B0B"/>
          <w:sz w:val="20"/>
        </w:rPr>
        <w:t xml:space="preserve"> required no authentication of any kind and accepted a full provider config in which both </w:t>
      </w:r>
      <w:r>
        <w:rPr>
          <w:rFonts w:ascii="Consolas" w:hAnsi="Consolas"/>
          <w:b w:val="0"/>
          <w:i w:val="0"/>
          <w:color w:val="0B0B0B"/>
          <w:sz w:val="19"/>
        </w:rPr>
        <w:t>base_url</w:t>
      </w:r>
      <w:r>
        <w:rPr>
          <w:b w:val="0"/>
          <w:i w:val="0"/>
          <w:color w:val="0B0B0B"/>
          <w:sz w:val="20"/>
        </w:rPr>
        <w:t xml:space="preserve"> and </w:t>
      </w:r>
      <w:r>
        <w:rPr>
          <w:rFonts w:ascii="Consolas" w:hAnsi="Consolas"/>
          <w:b w:val="0"/>
          <w:i w:val="0"/>
          <w:color w:val="0B0B0B"/>
          <w:sz w:val="19"/>
        </w:rPr>
        <w:t>api_key</w:t>
      </w:r>
      <w:r>
        <w:rPr>
          <w:b w:val="0"/>
          <w:i w:val="0"/>
          <w:color w:val="0B0B0B"/>
          <w:sz w:val="20"/>
        </w:rPr>
        <w:t xml:space="preserve"> were attacker-controlled. It then made an outbound request carrying an attacker-chosen </w:t>
      </w:r>
      <w:r>
        <w:rPr>
          <w:rFonts w:ascii="Consolas" w:hAnsi="Consolas"/>
          <w:b w:val="0"/>
          <w:i w:val="0"/>
          <w:color w:val="0B0B0B"/>
          <w:sz w:val="19"/>
        </w:rPr>
        <w:t>Authorization</w:t>
      </w:r>
      <w:r>
        <w:rPr>
          <w:b w:val="0"/>
          <w:i w:val="0"/>
          <w:color w:val="0B0B0B"/>
          <w:sz w:val="20"/>
        </w:rPr>
        <w:t xml:space="preserve"> header.</w:t>
      </w:r>
    </w:p>
    <w:p>
      <w:pPr>
        <w:spacing w:after="120"/>
      </w:pPr>
      <w:r>
        <w:rPr>
          <w:b/>
          <w:i w:val="0"/>
          <w:color w:val="0B0B0B"/>
          <w:sz w:val="20"/>
        </w:rPr>
        <w:t>This was the strongest finding in the set: unlike V3 it needed no credential-creation step, no valid encryption key, and no browser. Port 8100 was published, and the service was reachable by any container on the bridge network regardless.</w:t>
      </w:r>
    </w:p>
    <w:p>
      <w:pPr>
        <w:pStyle w:val="Heading3"/>
      </w:pPr>
      <w:r>
        <w:t>Evidence</w:t>
      </w:r>
    </w:p>
    <w:tbl>
      <w:tblPr>
        <w:tblW w:type="auto" w:w="0"/>
        <w:tblLook w:firstColumn="1" w:firstRow="1" w:lastColumn="0" w:lastRow="0" w:noHBand="0" w:noVBand="1" w:val="04A0"/>
      </w:tblPr>
      <w:tblGrid>
        <w:gridCol w:w="9648"/>
      </w:tblGrid>
      <w:tr>
        <w:tc>
          <w:tcPr>
            <w:tcW w:type="dxa" w:w="9648"/>
            <w:shd w:val="clear" w:fill="F4F2EC"/>
          </w:tcPr>
          <w:p>
            <w:pPr>
              <w:spacing w:after="0" w:line="240" w:lineRule="auto"/>
            </w:pPr>
            <w:r/>
            <w:r>
              <w:rPr>
                <w:rFonts w:ascii="Consolas" w:hAnsi="Consolas"/>
                <w:color w:val="52514E"/>
                <w:sz w:val="16"/>
              </w:rPr>
              <w:t>brain HTTP status: 200</w:t>
            </w:r>
          </w:p>
          <w:p>
            <w:pPr>
              <w:spacing w:after="0" w:line="240" w:lineRule="auto"/>
            </w:pPr>
            <w:r>
              <w:rPr>
                <w:rFonts w:ascii="Consolas" w:hAnsi="Consolas"/>
                <w:color w:val="52514E"/>
                <w:sz w:val="16"/>
              </w:rPr>
              <w:t>auth required?     NO - request accepted with no credential of any kind</w:t>
            </w:r>
          </w:p>
          <w:p>
            <w:pPr>
              <w:spacing w:after="0" w:line="240" w:lineRule="auto"/>
            </w:pPr>
            <w:r>
              <w:rPr>
                <w:rFonts w:ascii="Consolas" w:hAnsi="Consolas"/>
                <w:color w:val="52514E"/>
                <w:sz w:val="16"/>
              </w:rPr>
            </w:r>
          </w:p>
          <w:p>
            <w:pPr>
              <w:spacing w:after="0" w:line="240" w:lineRule="auto"/>
            </w:pPr>
            <w:r>
              <w:rPr>
                <w:rFonts w:ascii="Consolas" w:hAnsi="Consolas"/>
                <w:color w:val="52514E"/>
                <w:sz w:val="16"/>
              </w:rPr>
              <w:t xml:space="preserve">  path          : /internal-only/chat/completions</w:t>
            </w:r>
          </w:p>
          <w:p>
            <w:pPr>
              <w:spacing w:after="0" w:line="240" w:lineRule="auto"/>
            </w:pPr>
            <w:r>
              <w:rPr>
                <w:rFonts w:ascii="Consolas" w:hAnsi="Consolas"/>
                <w:color w:val="52514E"/>
                <w:sz w:val="16"/>
              </w:rPr>
              <w:t xml:space="preserve">  Authorization : Bearer ATTACKER-SUPPLIED-HEADER-VALUE</w:t>
            </w:r>
          </w:p>
        </w:tc>
      </w:tr>
    </w:tbl>
    <w:p>
      <w:pPr>
        <w:spacing w:after="40"/>
      </w:pPr>
    </w:p>
    <w:p>
      <w:pPr>
        <w:pStyle w:val="Heading3"/>
      </w:pPr>
      <w:r>
        <w:t>Related — reclassified</w:t>
      </w:r>
    </w:p>
    <w:p>
      <w:pPr>
        <w:spacing w:after="120"/>
      </w:pPr>
      <w:r>
        <w:rPr>
          <w:b w:val="0"/>
          <w:i w:val="0"/>
          <w:color w:val="52514E"/>
          <w:sz w:val="20"/>
        </w:rPr>
        <w:t>The API also sends decrypted provider API keys to the brain over plaintext HTTP. During verification this was reclassified as defense-in-depth rather than a primary vulnerability, since exploiting it requires an existing position on the Docker bridge network. It was originally presented at the same weight as the SSRF; it does not deserve that.</w:t>
      </w:r>
    </w:p>
    <w:p>
      <w:pPr>
        <w:pStyle w:val="Heading3"/>
      </w:pPr>
      <w:r>
        <w:t>Remediation</w:t>
      </w:r>
    </w:p>
    <w:p>
      <w:pPr>
        <w:spacing w:after="120"/>
      </w:pPr>
      <w:r>
        <w:rPr>
          <w:b w:val="0"/>
          <w:i w:val="0"/>
          <w:color w:val="0B0B0B"/>
          <w:sz w:val="20"/>
        </w:rPr>
        <w:t xml:space="preserve">The brain now requires an </w:t>
      </w:r>
      <w:r>
        <w:rPr>
          <w:rFonts w:ascii="Consolas" w:hAnsi="Consolas"/>
          <w:b w:val="0"/>
          <w:i w:val="0"/>
          <w:color w:val="0B0B0B"/>
          <w:sz w:val="19"/>
        </w:rPr>
        <w:t>X-Brain-Auth</w:t>
      </w:r>
      <w:r>
        <w:rPr>
          <w:b w:val="0"/>
          <w:i w:val="0"/>
          <w:color w:val="0B0B0B"/>
          <w:sz w:val="20"/>
        </w:rPr>
        <w:t xml:space="preserve"> shared secret, compared in constant time, and </w:t>
      </w:r>
      <w:r>
        <w:rPr>
          <w:b/>
          <w:i w:val="0"/>
          <w:color w:val="0B0B0B"/>
          <w:sz w:val="20"/>
        </w:rPr>
        <w:t>fails closed</w:t>
      </w:r>
      <w:r>
        <w:rPr>
          <w:b w:val="0"/>
          <w:i w:val="0"/>
          <w:color w:val="0B0B0B"/>
          <w:sz w:val="20"/>
        </w:rPr>
        <w:t xml:space="preserve"> — an unset secret refuses every request rather than silently reverting to open access. The V3 URL guard applies to its request body too.</w:t>
      </w:r>
    </w:p>
    <w:tbl>
      <w:tblPr>
        <w:tblW w:type="auto" w:w="0"/>
        <w:tblLook w:firstColumn="1" w:firstRow="1" w:lastColumn="0" w:lastRow="0" w:noHBand="0" w:noVBand="1" w:val="04A0"/>
      </w:tblPr>
      <w:tblGrid>
        <w:gridCol w:w="9648"/>
      </w:tblGrid>
      <w:tr>
        <w:tc>
          <w:tcPr>
            <w:tcW w:type="dxa" w:w="9648"/>
            <w:shd w:val="clear" w:fill="DFF3DF"/>
          </w:tcPr>
          <w:p>
            <w:pPr>
              <w:spacing w:after="0" w:line="240" w:lineRule="auto"/>
            </w:pPr>
            <w:r/>
            <w:r>
              <w:rPr>
                <w:rFonts w:ascii="Consolas" w:hAnsi="Consolas"/>
                <w:color w:val="0A5D0A"/>
                <w:sz w:val="16"/>
              </w:rPr>
              <w:t>[FIXED] unauthenticated adapt refused                   HTTP 401</w:t>
            </w:r>
          </w:p>
          <w:p>
            <w:pPr>
              <w:spacing w:after="0" w:line="240" w:lineRule="auto"/>
            </w:pPr>
            <w:r>
              <w:rPr>
                <w:rFonts w:ascii="Consolas" w:hAnsi="Consolas"/>
                <w:color w:val="0A5D0A"/>
                <w:sz w:val="16"/>
              </w:rPr>
              <w:t>[FIXED] no outbound request for unauthenticated caller  0 reached the target</w:t>
            </w:r>
          </w:p>
          <w:p>
            <w:pPr>
              <w:spacing w:after="0" w:line="240" w:lineRule="auto"/>
            </w:pPr>
            <w:r>
              <w:rPr>
                <w:rFonts w:ascii="Consolas" w:hAnsi="Consolas"/>
                <w:color w:val="0A5D0A"/>
                <w:sz w:val="16"/>
              </w:rPr>
              <w:t>[FIXED] authenticated caller cannot reach loopback      HTTP 422, 0 outbound</w:t>
            </w:r>
          </w:p>
          <w:p>
            <w:pPr>
              <w:spacing w:after="0" w:line="240" w:lineRule="auto"/>
            </w:pPr>
            <w:r>
              <w:rPr>
                <w:rFonts w:ascii="Consolas" w:hAnsi="Consolas"/>
                <w:color w:val="0A5D0A"/>
                <w:sz w:val="16"/>
              </w:rPr>
              <w:t>[FIXED] fails closed when secret unset                  HTTP 503</w:t>
            </w:r>
          </w:p>
        </w:tc>
      </w:tr>
    </w:tbl>
    <w:p>
      <w:pPr>
        <w:spacing w:after="40"/>
      </w:pPr>
    </w:p>
    <w:p>
      <w:r>
        <w:br w:type="page"/>
      </w:r>
    </w:p>
    <w:p>
      <w:pPr>
        <w:pStyle w:val="Heading1"/>
      </w:pPr>
      <w:r>
        <w:t>V5 — Database password cannot be changed via .env</w:t>
      </w:r>
    </w:p>
    <w:p>
      <w:pPr>
        <w:spacing w:after="120"/>
      </w:pPr>
      <w:r>
        <w:rPr>
          <w:b/>
          <w:i w:val="0"/>
          <w:color w:val="0B0B0B"/>
          <w:sz w:val="20"/>
        </w:rPr>
        <w:t xml:space="preserve">Severity </w:t>
      </w:r>
      <w:r>
        <w:rPr>
          <w:b/>
          <w:i w:val="0"/>
          <w:color w:val="0B0B0B"/>
          <w:sz w:val="20"/>
        </w:rPr>
        <w:t>Medium</w:t>
      </w:r>
      <w:r>
        <w:rPr>
          <w:b/>
          <w:i w:val="0"/>
          <w:color w:val="0B0B0B"/>
          <w:sz w:val="20"/>
        </w:rPr>
        <w:t xml:space="preserve">    Component </w:t>
      </w:r>
      <w:r>
        <w:rPr>
          <w:rFonts w:ascii="Consolas" w:hAnsi="Consolas"/>
          <w:b w:val="0"/>
          <w:i w:val="0"/>
          <w:color w:val="0B0B0B"/>
          <w:sz w:val="19"/>
        </w:rPr>
        <w:t>docker-compose.yml</w:t>
      </w:r>
    </w:p>
    <w:p>
      <w:pPr>
        <w:spacing w:after="120"/>
      </w:pPr>
      <w:r>
        <w:rPr>
          <w:b w:val="0"/>
          <w:i w:val="0"/>
          <w:color w:val="0B0B0B"/>
          <w:sz w:val="20"/>
        </w:rPr>
        <w:t xml:space="preserve">The postgres service hardcoded its password, and the api and worker services declared both an </w:t>
      </w:r>
      <w:r>
        <w:rPr>
          <w:rFonts w:ascii="Consolas" w:hAnsi="Consolas"/>
          <w:b w:val="0"/>
          <w:i w:val="0"/>
          <w:color w:val="0B0B0B"/>
          <w:sz w:val="19"/>
        </w:rPr>
        <w:t>env_file</w:t>
      </w:r>
      <w:r>
        <w:rPr>
          <w:b w:val="0"/>
          <w:i w:val="0"/>
          <w:color w:val="0B0B0B"/>
          <w:sz w:val="20"/>
        </w:rPr>
        <w:t xml:space="preserve"> and a hardcoded </w:t>
      </w:r>
      <w:r>
        <w:rPr>
          <w:rFonts w:ascii="Consolas" w:hAnsi="Consolas"/>
          <w:b w:val="0"/>
          <w:i w:val="0"/>
          <w:color w:val="0B0B0B"/>
          <w:sz w:val="19"/>
        </w:rPr>
        <w:t>environment</w:t>
      </w:r>
      <w:r>
        <w:rPr>
          <w:b w:val="0"/>
          <w:i w:val="0"/>
          <w:color w:val="0B0B0B"/>
          <w:sz w:val="20"/>
        </w:rPr>
        <w:t xml:space="preserve"> DSN. Compose gives </w:t>
      </w:r>
      <w:r>
        <w:rPr>
          <w:rFonts w:ascii="Consolas" w:hAnsi="Consolas"/>
          <w:b w:val="0"/>
          <w:i w:val="0"/>
          <w:color w:val="0B0B0B"/>
          <w:sz w:val="19"/>
        </w:rPr>
        <w:t>environment</w:t>
      </w:r>
      <w:r>
        <w:rPr>
          <w:b w:val="0"/>
          <w:i w:val="0"/>
          <w:color w:val="0B0B0B"/>
          <w:sz w:val="20"/>
        </w:rPr>
        <w:t xml:space="preserve"> precedence, so an operator editing the password in </w:t>
      </w:r>
      <w:r>
        <w:rPr>
          <w:rFonts w:ascii="Consolas" w:hAnsi="Consolas"/>
          <w:b w:val="0"/>
          <w:i w:val="0"/>
          <w:color w:val="0B0B0B"/>
          <w:sz w:val="19"/>
        </w:rPr>
        <w:t>.env</w:t>
      </w:r>
      <w:r>
        <w:rPr>
          <w:b w:val="0"/>
          <w:i w:val="0"/>
          <w:color w:val="0B0B0B"/>
          <w:sz w:val="20"/>
        </w:rPr>
        <w:t xml:space="preserve"> changed nothing.</w:t>
      </w:r>
    </w:p>
    <w:p>
      <w:pPr>
        <w:pStyle w:val="Heading3"/>
      </w:pPr>
      <w:r>
        <w:t>The failure mode, stated precisely</w:t>
      </w:r>
    </w:p>
    <w:p>
      <w:pPr>
        <w:spacing w:after="120"/>
      </w:pPr>
      <w:r>
        <w:rPr>
          <w:b w:val="0"/>
          <w:i w:val="0"/>
          <w:color w:val="52514E"/>
          <w:sz w:val="20"/>
        </w:rPr>
        <w:t>The application does not break. It keeps working on the default password. A security action silently has no effect — which is exactly why it would go unnoticed.</w:t>
      </w:r>
    </w:p>
    <w:p>
      <w:pPr>
        <w:pStyle w:val="Heading3"/>
      </w:pPr>
      <w:r>
        <w:t>Remediation</w:t>
      </w:r>
    </w:p>
    <w:p>
      <w:pPr>
        <w:spacing w:after="120"/>
      </w:pPr>
      <w:r>
        <w:rPr>
          <w:b w:val="0"/>
          <w:i w:val="0"/>
          <w:color w:val="0B0B0B"/>
          <w:sz w:val="20"/>
        </w:rPr>
        <w:t xml:space="preserve">The password is now interpolated into both the postgres container and the api/worker DSNs, so editing </w:t>
      </w:r>
      <w:r>
        <w:rPr>
          <w:rFonts w:ascii="Consolas" w:hAnsi="Consolas"/>
          <w:b w:val="0"/>
          <w:i w:val="0"/>
          <w:color w:val="0B0B0B"/>
          <w:sz w:val="19"/>
        </w:rPr>
        <w:t>.env</w:t>
      </w:r>
      <w:r>
        <w:rPr>
          <w:b w:val="0"/>
          <w:i w:val="0"/>
          <w:color w:val="0B0B0B"/>
          <w:sz w:val="20"/>
        </w:rPr>
        <w:t xml:space="preserve"> takes effect on both sides. Verified: no hardcoded DSN remains.</w:t>
      </w:r>
    </w:p>
    <w:p>
      <w:pPr>
        <w:pStyle w:val="Heading1"/>
      </w:pPr>
      <w:r>
        <w:t>V6 — No rate limiting or request-size limits</w:t>
      </w:r>
    </w:p>
    <w:p>
      <w:pPr>
        <w:spacing w:after="120"/>
      </w:pPr>
      <w:r>
        <w:rPr>
          <w:b/>
          <w:i w:val="0"/>
          <w:color w:val="0B0B0B"/>
          <w:sz w:val="20"/>
        </w:rPr>
        <w:t xml:space="preserve">Severity </w:t>
      </w:r>
      <w:r>
        <w:rPr>
          <w:b/>
          <w:i w:val="0"/>
          <w:color w:val="0B0B0B"/>
          <w:sz w:val="20"/>
        </w:rPr>
        <w:t>Medium</w:t>
      </w:r>
      <w:r>
        <w:rPr>
          <w:b/>
          <w:i w:val="0"/>
          <w:color w:val="0B0B0B"/>
          <w:sz w:val="20"/>
        </w:rPr>
        <w:t xml:space="preserve">    Component </w:t>
      </w:r>
      <w:r>
        <w:rPr>
          <w:rFonts w:ascii="Consolas" w:hAnsi="Consolas"/>
          <w:b w:val="0"/>
          <w:i w:val="0"/>
          <w:color w:val="0B0B0B"/>
          <w:sz w:val="19"/>
        </w:rPr>
        <w:t>apps/api</w:t>
      </w:r>
    </w:p>
    <w:p>
      <w:pPr>
        <w:spacing w:after="120"/>
      </w:pPr>
      <w:r>
        <w:rPr>
          <w:b w:val="0"/>
          <w:i w:val="0"/>
          <w:color w:val="0B0B0B"/>
          <w:sz w:val="20"/>
        </w:rPr>
        <w:t xml:space="preserve">No limiter of any kind existed. </w:t>
      </w:r>
      <w:r>
        <w:rPr>
          <w:rFonts w:ascii="Consolas" w:hAnsi="Consolas"/>
          <w:b w:val="0"/>
          <w:i w:val="0"/>
          <w:color w:val="0B0B0B"/>
          <w:sz w:val="19"/>
        </w:rPr>
        <w:t>POST /api/v1/goals/{id}/generate-plan</w:t>
      </w:r>
      <w:r>
        <w:rPr>
          <w:b w:val="0"/>
          <w:i w:val="0"/>
          <w:color w:val="0B0B0B"/>
          <w:sz w:val="20"/>
        </w:rPr>
        <w:t xml:space="preserve"> is unauthenticated and drives a roadmap generation plus per-lesson generation against the operator’s paid provider key.</w:t>
      </w:r>
    </w:p>
    <w:p>
      <w:pPr>
        <w:pStyle w:val="Heading3"/>
      </w:pPr>
      <w:r>
        <w:t>Amplification bound</w:t>
      </w:r>
    </w:p>
    <w:p>
      <w:pPr>
        <w:spacing w:after="120"/>
      </w:pPr>
      <w:r>
        <w:rPr>
          <w:b w:val="0"/>
          <w:i w:val="0"/>
          <w:color w:val="52514E"/>
          <w:sz w:val="20"/>
        </w:rPr>
        <w:t>Stated precisely: the per-request cost is bounded. Minutes per day is capped at 600 by the schema and the planning horizon is hardcoded to seven days, so a single request costs at most about seven lesson generations plus one concept-map call — roughly 27,500 max_tokens. It is the request count that is unbounded, not the per-request cost.</w:t>
      </w:r>
    </w:p>
    <w:p>
      <w:pPr>
        <w:pStyle w:val="Heading3"/>
      </w:pPr>
      <w:r>
        <w:t>Remediation</w:t>
      </w:r>
    </w:p>
    <w:p>
      <w:pPr>
        <w:spacing w:after="120"/>
      </w:pPr>
      <w:r>
        <w:rPr>
          <w:b w:val="0"/>
          <w:i w:val="0"/>
          <w:color w:val="0B0B0B"/>
          <w:sz w:val="20"/>
        </w:rPr>
        <w:t>A dependency-free fixed-window limiter plus a request-body cap. Plan generation is capped per client per hour; oversized bodies are rejected with 413. The limiter is in-process by design — proportionate for a single-user deployment, and documented as such.</w:t>
      </w:r>
    </w:p>
    <w:p>
      <w:r>
        <w:br w:type="page"/>
      </w:r>
    </w:p>
    <w:p>
      <w:pPr>
        <w:pStyle w:val="Heading1"/>
      </w:pPr>
      <w:r>
        <w:t>Remediation status</w:t>
      </w:r>
    </w:p>
    <w:p>
      <w:pPr>
        <w:spacing w:after="120"/>
      </w:pPr>
      <w:r>
        <w:rPr>
          <w:b/>
          <w:i w:val="0"/>
          <w:color w:val="0A5D0A"/>
          <w:sz w:val="20"/>
        </w:rPr>
        <w:t>All six confirmed vulnerabilities are remediated and verified.</w:t>
      </w:r>
      <w:r>
        <w:rPr>
          <w:b w:val="0"/>
          <w:i w:val="0"/>
          <w:color w:val="0B0B0B"/>
          <w:sz w:val="20"/>
        </w:rPr>
        <w:t xml:space="preserve"> Each original exploit was re-run against the patched tree.</w:t>
      </w:r>
    </w:p>
    <w:tbl>
      <w:tblPr>
        <w:tblStyle w:val="TableGrid"/>
        <w:tblW w:type="auto" w:w="0"/>
        <w:jc w:val="center"/>
        <w:tblLook w:firstColumn="1" w:firstRow="1" w:lastColumn="0" w:lastRow="0" w:noHBand="0" w:noVBand="1" w:val="04A0"/>
      </w:tblPr>
      <w:tblGrid>
        <w:gridCol w:w="3216"/>
        <w:gridCol w:w="3216"/>
        <w:gridCol w:w="3216"/>
      </w:tblGrid>
      <w:tr>
        <w:tc>
          <w:tcPr>
            <w:tcW w:type="dxa" w:w="576"/>
            <w:shd w:val="clear" w:fill="104281"/>
          </w:tcPr>
          <w:p>
            <w:r/>
            <w:r>
              <w:rPr>
                <w:b/>
                <w:color w:val="FFFFFF"/>
                <w:sz w:val="18"/>
              </w:rPr>
              <w:t>ID</w:t>
            </w:r>
          </w:p>
        </w:tc>
        <w:tc>
          <w:tcPr>
            <w:tcW w:type="dxa" w:w="4176"/>
            <w:shd w:val="clear" w:fill="104281"/>
          </w:tcPr>
          <w:p>
            <w:r/>
            <w:r>
              <w:rPr>
                <w:b/>
                <w:color w:val="FFFFFF"/>
                <w:sz w:val="18"/>
              </w:rPr>
              <w:t>Change</w:t>
            </w:r>
          </w:p>
        </w:tc>
        <w:tc>
          <w:tcPr>
            <w:tcW w:type="dxa" w:w="4176"/>
            <w:shd w:val="clear" w:fill="104281"/>
          </w:tcPr>
          <w:p>
            <w:r/>
            <w:r>
              <w:rPr>
                <w:b/>
                <w:color w:val="FFFFFF"/>
                <w:sz w:val="18"/>
              </w:rPr>
              <w:t>Verification</w:t>
            </w:r>
          </w:p>
        </w:tc>
      </w:tr>
      <w:tr>
        <w:tc>
          <w:tcPr>
            <w:tcW w:type="dxa" w:w="576"/>
          </w:tcPr>
          <w:p>
            <w:r/>
            <w:r>
              <w:rPr>
                <w:sz w:val="18"/>
              </w:rPr>
              <w:t>V1</w:t>
            </w:r>
          </w:p>
        </w:tc>
        <w:tc>
          <w:tcPr>
            <w:tcW w:type="dxa" w:w="4176"/>
          </w:tcPr>
          <w:p>
            <w:r/>
            <w:r>
              <w:rPr>
                <w:sz w:val="18"/>
              </w:rPr>
              <w:t>All six published ports bound to 127.0.0.1</w:t>
            </w:r>
          </w:p>
        </w:tc>
        <w:tc>
          <w:tcPr>
            <w:tcW w:type="dxa" w:w="4176"/>
          </w:tcPr>
          <w:p>
            <w:r/>
            <w:r>
              <w:rPr>
                <w:sz w:val="18"/>
              </w:rPr>
              <w:t>6/6 loopback-bound</w:t>
            </w:r>
          </w:p>
        </w:tc>
      </w:tr>
      <w:tr>
        <w:tc>
          <w:tcPr>
            <w:tcW w:type="dxa" w:w="576"/>
          </w:tcPr>
          <w:p>
            <w:r/>
            <w:r>
              <w:rPr>
                <w:sz w:val="18"/>
              </w:rPr>
              <w:t>V2</w:t>
            </w:r>
          </w:p>
        </w:tc>
        <w:tc>
          <w:tcPr>
            <w:tcW w:type="dxa" w:w="4176"/>
          </w:tcPr>
          <w:p>
            <w:r/>
            <w:r>
              <w:rPr>
                <w:sz w:val="18"/>
              </w:rPr>
              <w:t>Explicit origin allowlist; methods and headers narrowed</w:t>
            </w:r>
          </w:p>
        </w:tc>
        <w:tc>
          <w:tcPr>
            <w:tcW w:type="dxa" w:w="4176"/>
          </w:tcPr>
          <w:p>
            <w:r/>
            <w:r>
              <w:rPr>
                <w:sz w:val="18"/>
              </w:rPr>
              <w:t>Hostile origin gets no CORS grant; wildcard-cors cleared</w:t>
            </w:r>
          </w:p>
        </w:tc>
      </w:tr>
      <w:tr>
        <w:tc>
          <w:tcPr>
            <w:tcW w:type="dxa" w:w="576"/>
          </w:tcPr>
          <w:p>
            <w:r/>
            <w:r>
              <w:rPr>
                <w:sz w:val="18"/>
              </w:rPr>
              <w:t>V3</w:t>
            </w:r>
          </w:p>
        </w:tc>
        <w:tc>
          <w:tcPr>
            <w:tcW w:type="dxa" w:w="4176"/>
          </w:tcPr>
          <w:p>
            <w:r/>
            <w:r>
              <w:rPr>
                <w:sz w:val="18"/>
              </w:rPr>
              <w:t>Shared URL guard; upstream bodies no longer reflected</w:t>
            </w:r>
          </w:p>
        </w:tc>
        <w:tc>
          <w:tcPr>
            <w:tcW w:type="dxa" w:w="4176"/>
          </w:tcPr>
          <w:p>
            <w:r/>
            <w:r>
              <w:rPr>
                <w:sz w:val="18"/>
              </w:rPr>
              <w:t>Loopback, RFC1918 and metadata all refused</w:t>
            </w:r>
          </w:p>
        </w:tc>
      </w:tr>
      <w:tr>
        <w:tc>
          <w:tcPr>
            <w:tcW w:type="dxa" w:w="576"/>
          </w:tcPr>
          <w:p>
            <w:r/>
            <w:r>
              <w:rPr>
                <w:sz w:val="18"/>
              </w:rPr>
              <w:t>V4</w:t>
            </w:r>
          </w:p>
        </w:tc>
        <w:tc>
          <w:tcPr>
            <w:tcW w:type="dxa" w:w="4176"/>
          </w:tcPr>
          <w:p>
            <w:r/>
            <w:r>
              <w:rPr>
                <w:sz w:val="18"/>
              </w:rPr>
              <w:t>X-Brain-Auth required, fails closed; guard applies to brain</w:t>
            </w:r>
          </w:p>
        </w:tc>
        <w:tc>
          <w:tcPr>
            <w:tcW w:type="dxa" w:w="4176"/>
          </w:tcPr>
          <w:p>
            <w:r/>
            <w:r>
              <w:rPr>
                <w:sz w:val="18"/>
              </w:rPr>
              <w:t>401 with zero outbound requests; 503 when unset</w:t>
            </w:r>
          </w:p>
        </w:tc>
      </w:tr>
      <w:tr>
        <w:tc>
          <w:tcPr>
            <w:tcW w:type="dxa" w:w="576"/>
          </w:tcPr>
          <w:p>
            <w:r/>
            <w:r>
              <w:rPr>
                <w:sz w:val="18"/>
              </w:rPr>
              <w:t>V5</w:t>
            </w:r>
          </w:p>
        </w:tc>
        <w:tc>
          <w:tcPr>
            <w:tcW w:type="dxa" w:w="4176"/>
          </w:tcPr>
          <w:p>
            <w:r/>
            <w:r>
              <w:rPr>
                <w:sz w:val="18"/>
              </w:rPr>
              <w:t>Password interpolated on both sides</w:t>
            </w:r>
          </w:p>
        </w:tc>
        <w:tc>
          <w:tcPr>
            <w:tcW w:type="dxa" w:w="4176"/>
          </w:tcPr>
          <w:p>
            <w:r/>
            <w:r>
              <w:rPr>
                <w:sz w:val="18"/>
              </w:rPr>
              <w:t>No hardcoded DSN remains</w:t>
            </w:r>
          </w:p>
        </w:tc>
      </w:tr>
      <w:tr>
        <w:tc>
          <w:tcPr>
            <w:tcW w:type="dxa" w:w="576"/>
          </w:tcPr>
          <w:p>
            <w:r/>
            <w:r>
              <w:rPr>
                <w:sz w:val="18"/>
              </w:rPr>
              <w:t>V6</w:t>
            </w:r>
          </w:p>
        </w:tc>
        <w:tc>
          <w:tcPr>
            <w:tcW w:type="dxa" w:w="4176"/>
          </w:tcPr>
          <w:p>
            <w:r/>
            <w:r>
              <w:rPr>
                <w:sz w:val="18"/>
              </w:rPr>
              <w:t>Fixed-window limiter plus body cap</w:t>
            </w:r>
          </w:p>
        </w:tc>
        <w:tc>
          <w:tcPr>
            <w:tcW w:type="dxa" w:w="4176"/>
          </w:tcPr>
          <w:p>
            <w:r/>
            <w:r>
              <w:rPr>
                <w:sz w:val="18"/>
              </w:rPr>
              <w:t>Capped per client; oversized body 413</w:t>
            </w:r>
          </w:p>
        </w:tc>
      </w:tr>
    </w:tbl>
    <w:p>
      <w:pPr>
        <w:spacing w:after="40"/>
      </w:pPr>
    </w:p>
    <w:p>
      <w:pPr>
        <w:pStyle w:val="Heading2"/>
      </w:pPr>
      <w:r>
        <w:t>Test results</w:t>
      </w:r>
    </w:p>
    <w:p>
      <w:pPr>
        <w:pStyle w:val="ListBullet"/>
        <w:spacing w:after="60"/>
      </w:pPr>
      <w:r>
        <w:rPr>
          <w:rFonts w:ascii="Consolas" w:hAnsi="Consolas"/>
          <w:b w:val="0"/>
          <w:i w:val="0"/>
          <w:color w:val="0B0B0B"/>
          <w:sz w:val="19"/>
        </w:rPr>
        <w:t>apps/api</w:t>
      </w:r>
      <w:r>
        <w:rPr>
          <w:b/>
          <w:i w:val="0"/>
          <w:color w:val="0B0B0B"/>
          <w:sz w:val="20"/>
        </w:rPr>
        <w:t>: 55 passed</w:t>
      </w:r>
      <w:r>
        <w:rPr>
          <w:b w:val="0"/>
          <w:i w:val="0"/>
          <w:color w:val="0B0B0B"/>
          <w:sz w:val="20"/>
        </w:rPr>
        <w:t xml:space="preserve"> (38 pre-existing, plus 17 new SSRF-guard regression tests)</w:t>
      </w:r>
    </w:p>
    <w:p>
      <w:pPr>
        <w:pStyle w:val="ListBullet"/>
        <w:spacing w:after="60"/>
      </w:pPr>
      <w:r>
        <w:rPr>
          <w:rFonts w:ascii="Consolas" w:hAnsi="Consolas"/>
          <w:b w:val="0"/>
          <w:i w:val="0"/>
          <w:color w:val="0B0B0B"/>
          <w:sz w:val="19"/>
        </w:rPr>
        <w:t>apps/brain</w:t>
      </w:r>
      <w:r>
        <w:rPr>
          <w:b/>
          <w:i w:val="0"/>
          <w:color w:val="0B0B0B"/>
          <w:sz w:val="20"/>
        </w:rPr>
        <w:t>: 10 passed</w:t>
      </w:r>
      <w:r>
        <w:rPr>
          <w:b w:val="0"/>
          <w:i w:val="0"/>
          <w:color w:val="0B0B0B"/>
          <w:sz w:val="20"/>
        </w:rPr>
        <w:t xml:space="preserve"> (4 pre-existing, updated for authentication, plus 6 new)</w:t>
      </w:r>
    </w:p>
    <w:p>
      <w:pPr>
        <w:pStyle w:val="ListBullet"/>
        <w:spacing w:after="60"/>
      </w:pPr>
      <w:r>
        <w:rPr>
          <w:b w:val="0"/>
          <w:i w:val="0"/>
          <w:color w:val="0B0B0B"/>
          <w:sz w:val="20"/>
        </w:rPr>
        <w:t xml:space="preserve">semgrep re-scan: </w:t>
      </w:r>
      <w:r>
        <w:rPr>
          <w:rFonts w:ascii="Consolas" w:hAnsi="Consolas"/>
          <w:b w:val="0"/>
          <w:i w:val="0"/>
          <w:color w:val="0B0B0B"/>
          <w:sz w:val="19"/>
        </w:rPr>
        <w:t>wildcard-cors</w:t>
      </w:r>
      <w:r>
        <w:rPr>
          <w:b/>
          <w:i w:val="0"/>
          <w:color w:val="0B0B0B"/>
          <w:sz w:val="20"/>
        </w:rPr>
        <w:t xml:space="preserve"> cleared</w:t>
      </w:r>
      <w:r>
        <w:rPr>
          <w:b w:val="0"/>
          <w:i w:val="0"/>
          <w:color w:val="0B0B0B"/>
          <w:sz w:val="20"/>
        </w:rPr>
        <w:t>; three missing-user findings remain by decision</w:t>
      </w:r>
    </w:p>
    <w:p>
      <w:pPr>
        <w:pStyle w:val="Heading2"/>
      </w:pPr>
      <w:r>
        <w:t>Deliberately not changed</w:t>
      </w:r>
    </w:p>
    <w:p>
      <w:pPr>
        <w:spacing w:after="120"/>
      </w:pPr>
      <w:r>
        <w:rPr>
          <w:b w:val="0"/>
          <w:i w:val="0"/>
          <w:color w:val="0B0B0B"/>
          <w:sz w:val="20"/>
        </w:rPr>
        <w:t>Three items were left alone, for a reason worth recording.</w:t>
      </w:r>
    </w:p>
    <w:p>
      <w:pPr>
        <w:pStyle w:val="ListBullet"/>
        <w:spacing w:after="60"/>
      </w:pPr>
      <w:r>
        <w:rPr>
          <w:b/>
          <w:i w:val="0"/>
          <w:color w:val="0B0B0B"/>
          <w:sz w:val="20"/>
        </w:rPr>
        <w:t xml:space="preserve">Non-root container users. </w:t>
      </w:r>
      <w:r>
        <w:rPr>
          <w:b w:val="0"/>
          <w:i w:val="0"/>
          <w:color w:val="0B0B0B"/>
          <w:sz w:val="20"/>
        </w:rPr>
        <w:t>Adding a USER directive interacts with the bind-mounted source volumes and the migration step in the api container command. That interaction could not be tested without Docker. Shipping an unverifiable change to the deployment path was judged worse than a documented gap.</w:t>
      </w:r>
    </w:p>
    <w:p>
      <w:pPr>
        <w:pStyle w:val="ListBullet"/>
        <w:spacing w:after="60"/>
      </w:pPr>
      <w:r>
        <w:rPr>
          <w:b/>
          <w:i w:val="0"/>
          <w:color w:val="0B0B0B"/>
          <w:sz w:val="20"/>
        </w:rPr>
        <w:t xml:space="preserve">Dependency pinning and CI action SHA-pinning. </w:t>
      </w:r>
      <w:r>
        <w:rPr>
          <w:b w:val="0"/>
          <w:i w:val="0"/>
          <w:color w:val="0B0B0B"/>
          <w:sz w:val="20"/>
        </w:rPr>
        <w:t>Risk-posture improvements rather than fixes to a reachable defect; both change the build in ways that warrant their own review.</w:t>
      </w:r>
    </w:p>
    <w:p>
      <w:pPr>
        <w:pStyle w:val="ListBullet"/>
        <w:spacing w:after="60"/>
      </w:pPr>
      <w:r>
        <w:rPr>
          <w:b/>
          <w:i w:val="0"/>
          <w:color w:val="0B0B0B"/>
          <w:sz w:val="20"/>
        </w:rPr>
        <w:t xml:space="preserve">Fail-fast on an invalid encryption key. </w:t>
      </w:r>
      <w:r>
        <w:rPr>
          <w:b w:val="0"/>
          <w:i w:val="0"/>
          <w:color w:val="0B0B0B"/>
          <w:sz w:val="20"/>
        </w:rPr>
        <w:t>The current behaviour already fails closed, and incidentally blocks V3 on default-configured deployments. A usability issue, not a security one.</w:t>
      </w:r>
    </w:p>
    <w:p>
      <w:pPr>
        <w:pStyle w:val="Heading2"/>
      </w:pPr>
      <w:r>
        <w:t>Residual risks</w:t>
      </w:r>
    </w:p>
    <w:p>
      <w:pPr>
        <w:pStyle w:val="ListBullet"/>
        <w:spacing w:after="60"/>
      </w:pPr>
      <w:r>
        <w:rPr>
          <w:b/>
          <w:i w:val="0"/>
          <w:color w:val="0B0B0B"/>
          <w:sz w:val="20"/>
        </w:rPr>
        <w:t xml:space="preserve">DNS rebinding. </w:t>
      </w:r>
      <w:r>
        <w:rPr>
          <w:b w:val="0"/>
          <w:i w:val="0"/>
          <w:color w:val="0B0B0B"/>
          <w:sz w:val="20"/>
        </w:rPr>
        <w:t>The guard resolves and checks every returned address, but a domain could answer public at validation time and private at connection time. Closing this fully needs the validated IP pinned through to the connection.</w:t>
      </w:r>
    </w:p>
    <w:p>
      <w:pPr>
        <w:pStyle w:val="ListBullet"/>
        <w:spacing w:after="60"/>
      </w:pPr>
      <w:r>
        <w:rPr>
          <w:b/>
          <w:i w:val="0"/>
          <w:color w:val="0B0B0B"/>
          <w:sz w:val="20"/>
        </w:rPr>
        <w:t xml:space="preserve">Unresolvable hostnames pass the guard, </w:t>
      </w:r>
      <w:r>
        <w:rPr>
          <w:b w:val="0"/>
          <w:i w:val="0"/>
          <w:color w:val="0B0B0B"/>
          <w:sz w:val="20"/>
        </w:rPr>
        <w:t>by design — a name that does not resolve cannot be an internal target, and offline configurations depend on it.</w:t>
      </w:r>
    </w:p>
    <w:p>
      <w:pPr>
        <w:pStyle w:val="ListBullet"/>
        <w:spacing w:after="60"/>
      </w:pPr>
      <w:r>
        <w:rPr>
          <w:b/>
          <w:i w:val="0"/>
          <w:color w:val="0B0B0B"/>
          <w:sz w:val="20"/>
        </w:rPr>
        <w:t xml:space="preserve">The limiter is per-process and in-memory. </w:t>
      </w:r>
      <w:r>
        <w:rPr>
          <w:b w:val="0"/>
          <w:i w:val="0"/>
          <w:color w:val="0B0B0B"/>
          <w:sz w:val="20"/>
        </w:rPr>
        <w:t>A multi-worker deployment multiplies the ceiling by the worker count. Anything exposed beyond loopback wants a reverse proxy.</w:t>
      </w:r>
    </w:p>
    <w:p>
      <w:pPr>
        <w:pStyle w:val="ListBullet"/>
        <w:spacing w:after="60"/>
      </w:pPr>
      <w:r>
        <w:rPr>
          <w:b/>
          <w:i w:val="0"/>
          <w:color w:val="0B0B0B"/>
          <w:sz w:val="20"/>
        </w:rPr>
        <w:t xml:space="preserve">Redis protected-mode remains untested. </w:t>
      </w:r>
      <w:r>
        <w:rPr>
          <w:b w:val="0"/>
          <w:i w:val="0"/>
          <w:color w:val="0B0B0B"/>
          <w:sz w:val="20"/>
        </w:rPr>
        <w:t>Loopback binding makes it moot for network exposure, but the question still warrants one empirical test on a machine with Docker.</w:t>
      </w:r>
    </w:p>
    <w:p>
      <w:r>
        <w:br w:type="page"/>
      </w:r>
    </w:p>
    <w:p>
      <w:pPr>
        <w:pStyle w:val="Heading1"/>
      </w:pPr>
      <w:r>
        <w:t>Appendix A — Rejected findings</w:t>
      </w:r>
    </w:p>
    <w:p>
      <w:pPr>
        <w:spacing w:after="120"/>
      </w:pPr>
      <w:r>
        <w:rPr>
          <w:b w:val="0"/>
          <w:i w:val="0"/>
          <w:color w:val="52514E"/>
          <w:sz w:val="20"/>
        </w:rPr>
        <w:t>Eight candidates were rejected as vulnerabilities. They are recorded because what was ruled out, and why, is part of the result.</w:t>
      </w:r>
    </w:p>
    <w:tbl>
      <w:tblPr>
        <w:tblStyle w:val="TableGrid"/>
        <w:tblW w:type="auto" w:w="0"/>
        <w:jc w:val="center"/>
        <w:tblLook w:firstColumn="1" w:firstRow="1" w:lastColumn="0" w:lastRow="0" w:noHBand="0" w:noVBand="1" w:val="04A0"/>
      </w:tblPr>
      <w:tblGrid>
        <w:gridCol w:w="4824"/>
        <w:gridCol w:w="4824"/>
      </w:tblGrid>
      <w:tr>
        <w:tc>
          <w:tcPr>
            <w:tcW w:type="dxa" w:w="2736"/>
            <w:shd w:val="clear" w:fill="104281"/>
          </w:tcPr>
          <w:p>
            <w:r/>
            <w:r>
              <w:rPr>
                <w:b/>
                <w:color w:val="FFFFFF"/>
                <w:sz w:val="18"/>
              </w:rPr>
              <w:t>Candidate</w:t>
            </w:r>
          </w:p>
        </w:tc>
        <w:tc>
          <w:tcPr>
            <w:tcW w:type="dxa" w:w="6768"/>
            <w:shd w:val="clear" w:fill="104281"/>
          </w:tcPr>
          <w:p>
            <w:r/>
            <w:r>
              <w:rPr>
                <w:b/>
                <w:color w:val="FFFFFF"/>
                <w:sz w:val="18"/>
              </w:rPr>
              <w:t>Verdict and reason</w:t>
            </w:r>
          </w:p>
        </w:tc>
      </w:tr>
      <w:tr>
        <w:tc>
          <w:tcPr>
            <w:tcW w:type="dxa" w:w="2736"/>
          </w:tcPr>
          <w:p>
            <w:r/>
            <w:r>
              <w:rPr>
                <w:sz w:val="18"/>
              </w:rPr>
              <w:t>Dev servers and root containers</w:t>
            </w:r>
          </w:p>
        </w:tc>
        <w:tc>
          <w:tcPr>
            <w:tcW w:type="dxa" w:w="6768"/>
          </w:tcPr>
          <w:p>
            <w:r/>
            <w:r>
              <w:rPr>
                <w:sz w:val="18"/>
              </w:rPr>
              <w:t>Gate 3 fail. Code execution via --reload needs pre-existing host write access. Valid as hardening.</w:t>
            </w:r>
          </w:p>
        </w:tc>
      </w:tr>
      <w:tr>
        <w:tc>
          <w:tcPr>
            <w:tcW w:type="dxa" w:w="2736"/>
          </w:tcPr>
          <w:p>
            <w:r/>
            <w:r>
              <w:rPr>
                <w:sz w:val="18"/>
              </w:rPr>
              <w:t>/health/ready information leak</w:t>
            </w:r>
          </w:p>
        </w:tc>
        <w:tc>
          <w:tcPr>
            <w:tcW w:type="dxa" w:w="6768"/>
          </w:tcPr>
          <w:p>
            <w:r/>
            <w:r>
              <w:rPr>
                <w:sz w:val="18"/>
              </w:rPr>
              <w:t>Empirically disproven. Running the real path leaks only the string 'postgres', a service name already public in the repo.</w:t>
            </w:r>
          </w:p>
        </w:tc>
      </w:tr>
      <w:tr>
        <w:tc>
          <w:tcPr>
            <w:tcW w:type="dxa" w:w="2736"/>
          </w:tcPr>
          <w:p>
            <w:r/>
            <w:r>
              <w:rPr>
                <w:sz w:val="18"/>
              </w:rPr>
              <w:t>Unpinned Python dependencies</w:t>
            </w:r>
          </w:p>
        </w:tc>
        <w:tc>
          <w:tcPr>
            <w:tcW w:type="dxa" w:w="6768"/>
          </w:tcPr>
          <w:p>
            <w:r/>
            <w:r>
              <w:rPr>
                <w:sz w:val="18"/>
              </w:rPr>
              <w:t>Gate 2 fail. Requires compromising an upstream package first; no attacker-controlled path in this codebase.</w:t>
            </w:r>
          </w:p>
        </w:tc>
      </w:tr>
      <w:tr>
        <w:tc>
          <w:tcPr>
            <w:tcW w:type="dxa" w:w="2736"/>
          </w:tcPr>
          <w:p>
            <w:r/>
            <w:r>
              <w:rPr>
                <w:sz w:val="18"/>
              </w:rPr>
              <w:t>CI actions on mutable tags</w:t>
            </w:r>
          </w:p>
        </w:tc>
        <w:tc>
          <w:tcPr>
            <w:tcW w:type="dxa" w:w="6768"/>
          </w:tcPr>
          <w:p>
            <w:r/>
            <w:r>
              <w:rPr>
                <w:sz w:val="18"/>
              </w:rPr>
              <w:t>Gate 2 fail. Triggers on pull_request, not pull_request_target, and the workflow uses zero repository secrets.</w:t>
            </w:r>
          </w:p>
        </w:tc>
      </w:tr>
      <w:tr>
        <w:tc>
          <w:tcPr>
            <w:tcW w:type="dxa" w:w="2736"/>
          </w:tcPr>
          <w:p>
            <w:r/>
            <w:r>
              <w:rPr>
                <w:sz w:val="18"/>
              </w:rPr>
              <w:t>Placeholder encryption key</w:t>
            </w:r>
          </w:p>
        </w:tc>
        <w:tc>
          <w:tcPr>
            <w:tcW w:type="dxa" w:w="6768"/>
          </w:tcPr>
          <w:p>
            <w:r/>
            <w:r>
              <w:rPr>
                <w:sz w:val="18"/>
              </w:rPr>
              <w:t>Fails closed — verified. Actually a mitigating control for V3, not a defect.</w:t>
            </w:r>
          </w:p>
        </w:tc>
      </w:tr>
      <w:tr>
        <w:tc>
          <w:tcPr>
            <w:tcW w:type="dxa" w:w="2736"/>
          </w:tcPr>
          <w:p>
            <w:r/>
            <w:r>
              <w:rPr>
                <w:sz w:val="18"/>
              </w:rPr>
              <w:t>passlib dead dependency</w:t>
            </w:r>
          </w:p>
        </w:tc>
        <w:tc>
          <w:tcPr>
            <w:tcW w:type="dxa" w:w="6768"/>
          </w:tcPr>
          <w:p>
            <w:r/>
            <w:r>
              <w:rPr>
                <w:sz w:val="18"/>
              </w:rPr>
              <w:t>Repo-wide grep finds one occurrence, in requirements. Zero code references. Hygiene.</w:t>
            </w:r>
          </w:p>
        </w:tc>
      </w:tr>
      <w:tr>
        <w:tc>
          <w:tcPr>
            <w:tcW w:type="dxa" w:w="2736"/>
          </w:tcPr>
          <w:p>
            <w:r/>
            <w:r>
              <w:rPr>
                <w:sz w:val="18"/>
              </w:rPr>
              <w:t>Test key in CI workflow</w:t>
            </w:r>
          </w:p>
        </w:tc>
        <w:tc>
          <w:tcPr>
            <w:tcW w:type="dxa" w:w="6768"/>
          </w:tcPr>
          <w:p>
            <w:r/>
            <w:r>
              <w:rPr>
                <w:sz w:val="18"/>
              </w:rPr>
              <w:t>Single occurrence, CI-only, protects no real ciphertext. Hygiene.</w:t>
            </w:r>
          </w:p>
        </w:tc>
      </w:tr>
      <w:tr>
        <w:tc>
          <w:tcPr>
            <w:tcW w:type="dxa" w:w="2736"/>
          </w:tcPr>
          <w:p>
            <w:r/>
            <w:r>
              <w:rPr>
                <w:sz w:val="18"/>
              </w:rPr>
              <w:t>Missing field bounds</w:t>
            </w:r>
          </w:p>
        </w:tc>
        <w:tc>
          <w:tcPr>
            <w:tcW w:type="dxa" w:w="6768"/>
          </w:tcPr>
          <w:p>
            <w:r/>
            <w:r>
              <w:rPr>
                <w:sz w:val="18"/>
              </w:rPr>
              <w:t>Attacker control confirmed — Infinity and NaN do parse — but the clamp maps them safely into [0,1]. Verified.</w:t>
            </w:r>
          </w:p>
        </w:tc>
      </w:tr>
    </w:tbl>
    <w:p>
      <w:pPr>
        <w:spacing w:after="40"/>
      </w:pPr>
    </w:p>
    <w:p>
      <w:pPr>
        <w:pStyle w:val="Heading1"/>
      </w:pPr>
      <w:r>
        <w:t>Appendix B — Verified clean</w:t>
      </w:r>
    </w:p>
    <w:p>
      <w:pPr>
        <w:spacing w:after="120"/>
      </w:pPr>
      <w:r>
        <w:rPr>
          <w:b w:val="0"/>
          <w:i w:val="0"/>
          <w:color w:val="52514E"/>
          <w:sz w:val="20"/>
        </w:rPr>
        <w:t>This section is the reason the findings above are characterised as an assumption failure rather than a code-quality failure.</w:t>
      </w:r>
    </w:p>
    <w:p>
      <w:pPr>
        <w:pStyle w:val="ListBullet"/>
        <w:spacing w:after="60"/>
      </w:pPr>
      <w:r>
        <w:rPr>
          <w:b/>
          <w:i w:val="0"/>
          <w:color w:val="0B0B0B"/>
          <w:sz w:val="20"/>
        </w:rPr>
        <w:t xml:space="preserve">No SQL injection. </w:t>
      </w:r>
      <w:r>
        <w:rPr>
          <w:b w:val="0"/>
          <w:i w:val="0"/>
          <w:color w:val="0B0B0B"/>
          <w:sz w:val="20"/>
        </w:rPr>
        <w:t>All access goes through the ORM or parameterized queries; the only raw SQL in the tree is a readiness-probe SELECT 1.</w:t>
      </w:r>
    </w:p>
    <w:p>
      <w:pPr>
        <w:pStyle w:val="ListBullet"/>
        <w:spacing w:after="60"/>
      </w:pPr>
      <w:r>
        <w:rPr>
          <w:b/>
          <w:i w:val="0"/>
          <w:color w:val="0B0B0B"/>
          <w:sz w:val="20"/>
        </w:rPr>
        <w:t xml:space="preserve">No unsafe execution. </w:t>
      </w:r>
      <w:r>
        <w:rPr>
          <w:b w:val="0"/>
          <w:i w:val="0"/>
          <w:color w:val="0B0B0B"/>
          <w:sz w:val="20"/>
        </w:rPr>
        <w:t>No eval, exec, pickle, subprocess, yaml.load or shell invocation anywhere. bandit: 0 issues across 3,435 lines.</w:t>
      </w:r>
    </w:p>
    <w:p>
      <w:pPr>
        <w:pStyle w:val="ListBullet"/>
        <w:spacing w:after="60"/>
      </w:pPr>
      <w:r>
        <w:rPr>
          <w:b/>
          <w:i w:val="0"/>
          <w:color w:val="0B0B0B"/>
          <w:sz w:val="20"/>
        </w:rPr>
        <w:t xml:space="preserve">XSS handled correctly. </w:t>
      </w:r>
      <w:r>
        <w:rPr>
          <w:b w:val="0"/>
          <w:i w:val="0"/>
          <w:color w:val="0B0B0B"/>
          <w:sz w:val="20"/>
        </w:rPr>
        <w:t>Markdown is sanitised through DOMPurify before the single dangerouslySetInnerHTML, and a URL allowlist means a javascript: URL cannot become a live link.</w:t>
      </w:r>
    </w:p>
    <w:p>
      <w:pPr>
        <w:pStyle w:val="ListBullet"/>
        <w:spacing w:after="60"/>
      </w:pPr>
      <w:r>
        <w:rPr>
          <w:b/>
          <w:i w:val="0"/>
          <w:color w:val="0B0B0B"/>
          <w:sz w:val="20"/>
        </w:rPr>
        <w:t xml:space="preserve">Dependencies clean. </w:t>
      </w:r>
      <w:r>
        <w:rPr>
          <w:b w:val="0"/>
          <w:i w:val="0"/>
          <w:color w:val="0B0B0B"/>
          <w:sz w:val="20"/>
        </w:rPr>
        <w:t>pip-audit: 0 CVEs across both services. npm audit: 0 vulnerabilities. gitleaks over full history: only the labelled CI test key.</w:t>
      </w:r>
    </w:p>
    <w:p>
      <w:pPr>
        <w:pStyle w:val="ListBullet"/>
        <w:spacing w:after="60"/>
      </w:pPr>
      <w:r>
        <w:rPr>
          <w:b/>
          <w:i w:val="0"/>
          <w:color w:val="0B0B0B"/>
          <w:sz w:val="20"/>
        </w:rPr>
        <w:t xml:space="preserve">AI guardrails are genuinely strong. </w:t>
      </w:r>
      <w:r>
        <w:rPr>
          <w:b w:val="0"/>
          <w:i w:val="0"/>
          <w:color w:val="0B0B0B"/>
          <w:sz w:val="20"/>
        </w:rPr>
        <w:t>Model output is schema-validated, supplementary support is constrained to a five-value enum, suggestions are confidence-gated, and the verdict stage rejects anything that would weaken the deterministic floor. Prompt injection into the adaptation path is meaningfully contained.</w:t>
      </w:r>
    </w:p>
    <w:p>
      <w:pPr>
        <w:pStyle w:val="ListBullet"/>
        <w:spacing w:after="60"/>
      </w:pPr>
      <w:r>
        <w:rPr>
          <w:b/>
          <w:i w:val="0"/>
          <w:color w:val="0B0B0B"/>
          <w:sz w:val="20"/>
        </w:rPr>
        <w:t xml:space="preserve">Credential encryption </w:t>
      </w:r>
      <w:r>
        <w:rPr>
          <w:b w:val="0"/>
          <w:i w:val="0"/>
          <w:color w:val="0B0B0B"/>
          <w:sz w:val="20"/>
        </w:rPr>
        <w:t>uses Fernet, fails closed, and only masked labels ever leave the API.</w:t>
      </w:r>
    </w:p>
    <w:p>
      <w:pPr>
        <w:pStyle w:val="Heading1"/>
      </w:pPr>
      <w:r>
        <w:t>Appendix C — Companion material</w:t>
      </w:r>
    </w:p>
    <w:p>
      <w:pPr>
        <w:spacing w:after="120"/>
      </w:pPr>
      <w:r>
        <w:rPr>
          <w:b w:val="0"/>
          <w:i w:val="0"/>
          <w:color w:val="0B0B0B"/>
          <w:sz w:val="20"/>
        </w:rPr>
        <w:t>Editable diagram boards (FigJam):</w:t>
      </w:r>
    </w:p>
    <w:p>
      <w:pPr>
        <w:pStyle w:val="ListBullet"/>
      </w:pPr>
      <w:r>
        <w:rPr>
          <w:sz w:val="20"/>
        </w:rPr>
        <w:t xml:space="preserve">Exploit chain — </w:t>
      </w:r>
      <w:hyperlink r:id="rId12">
        <w:r>
          <w:rPr>
            <w:color w:val="2A78D6"/>
            <w:u w:val="single"/>
            <w:sz w:val="20"/>
          </w:rPr>
          <w:t>open in Figma</w:t>
        </w:r>
      </w:hyperlink>
    </w:p>
    <w:p>
      <w:pPr>
        <w:pStyle w:val="ListBullet"/>
      </w:pPr>
      <w:r>
        <w:rPr>
          <w:sz w:val="20"/>
        </w:rPr>
        <w:t xml:space="preserve">V3 SSRF data flow — </w:t>
      </w:r>
      <w:hyperlink r:id="rId13">
        <w:r>
          <w:rPr>
            <w:color w:val="2A78D6"/>
            <w:u w:val="single"/>
            <w:sz w:val="20"/>
          </w:rPr>
          <w:t>open in Figma</w:t>
        </w:r>
      </w:hyperlink>
    </w:p>
    <w:p>
      <w:pPr>
        <w:pStyle w:val="ListBullet"/>
      </w:pPr>
      <w:r>
        <w:rPr>
          <w:sz w:val="20"/>
        </w:rPr>
        <w:t xml:space="preserve">V4 brain auth, before and after — </w:t>
      </w:r>
      <w:hyperlink r:id="rId14">
        <w:r>
          <w:rPr>
            <w:color w:val="2A78D6"/>
            <w:u w:val="single"/>
            <w:sz w:val="20"/>
          </w:rPr>
          <w:t>open in Figma</w:t>
        </w:r>
      </w:hyperlink>
    </w:p>
    <w:p>
      <w:pPr>
        <w:spacing w:after="120"/>
      </w:pPr>
      <w:r>
        <w:rPr>
          <w:b w:val="0"/>
          <w:i w:val="0"/>
          <w:color w:val="0B0B0B"/>
          <w:sz w:val="20"/>
        </w:rPr>
        <w:t>Shareable summary page (Notion, private draft):</w:t>
      </w:r>
    </w:p>
    <w:p>
      <w:pPr>
        <w:pStyle w:val="ListBullet"/>
      </w:pPr>
      <w:r>
        <w:rPr>
          <w:sz w:val="20"/>
        </w:rPr>
        <w:t xml:space="preserve">MeroGuru — Security Assessment &amp; Remediation — </w:t>
      </w:r>
      <w:hyperlink r:id="rId15">
        <w:r>
          <w:rPr>
            <w:color w:val="2A78D6"/>
            <w:u w:val="single"/>
            <w:sz w:val="20"/>
          </w:rPr>
          <w:t>open in Notion</w:t>
        </w:r>
      </w:hyperlink>
    </w:p>
    <w:p/>
    <w:p>
      <w:pPr>
        <w:spacing w:after="120"/>
      </w:pPr>
      <w:r>
        <w:rPr>
          <w:b w:val="0"/>
          <w:i/>
          <w:color w:val="898781"/>
          <w:sz w:val="17"/>
        </w:rPr>
        <w:t>Report prepared 16 September 2026 against commit 52d136f. Findings were validated through the fp-check false-positive methodology; the one sub-claim that could not be empirically tested is marked as unverified in V1. Line references describe the code as assessed; remediation has since landed.</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Segoe UI" w:hAnsi="Segoe UI"/>
      <w:color w:val="0B0B0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Segoe UI Semibold" w:hAnsi="Segoe UI Semibold"/>
      <w:b/>
      <w:bCs/>
      <w:color w:val="104281"/>
      <w:sz w:val="34"/>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Segoe UI Semibold" w:hAnsi="Segoe UI Semibold"/>
      <w:b/>
      <w:bCs/>
      <w:color w:val="0B0B0B"/>
      <w:sz w:val="26"/>
      <w:szCs w:val="26"/>
    </w:rPr>
  </w:style>
  <w:style w:type="paragraph" w:styleId="Heading3">
    <w:name w:val="heading 3"/>
    <w:basedOn w:val="Normal"/>
    <w:next w:val="Normal"/>
    <w:link w:val="Heading3Char"/>
    <w:uiPriority w:val="9"/>
    <w:unhideWhenUsed/>
    <w:qFormat/>
    <w:rsid w:val="00FC693F"/>
    <w:pPr>
      <w:keepNext/>
      <w:keepLines/>
      <w:spacing w:before="280" w:after="100"/>
      <w:outlineLvl w:val="2"/>
    </w:pPr>
    <w:rPr>
      <w:rFonts w:asciiTheme="majorHAnsi" w:eastAsiaTheme="majorEastAsia" w:hAnsiTheme="majorHAnsi" w:cstheme="majorBidi" w:ascii="Segoe UI Semibold" w:hAnsi="Segoe UI Semibold"/>
      <w:b/>
      <w:bCs/>
      <w:color w:val="52514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yperlink" Target="https://www.figma.com/board/C8AQR0zOzjuvWfHC7BhHb6" TargetMode="External"/><Relationship Id="rId13" Type="http://schemas.openxmlformats.org/officeDocument/2006/relationships/hyperlink" Target="https://www.figma.com/board/sQNgJDSz0B0tdb4ll1BXsv" TargetMode="External"/><Relationship Id="rId14" Type="http://schemas.openxmlformats.org/officeDocument/2006/relationships/hyperlink" Target="https://www.figma.com/board/SL23kxGwbiyIhvuezb1Yk4" TargetMode="External"/><Relationship Id="rId15" Type="http://schemas.openxmlformats.org/officeDocument/2006/relationships/hyperlink" Target="https://app.notion.com/p/3dd5bac0503c81b18e2ee470a9788ab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