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u4y5502dzvky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5–6 posts/week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e1641letusw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Primary: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fp7vdcvgu7v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8:30 AM – 10:00 AM IST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01dkgvta7im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Secondary: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hxrs2y1olz6a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5:30 PM – 7:00 PM IST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7vdcvgu7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Pillar 1 — AI + Architecture Visuals (Highest Reach)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growth engine.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“2D floorplan → cinematic render in 30 seconds”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generated 3 luxury interior variations from one layout”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architects may look like in 2030”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tested if AI can replace mood boards”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“Midjourney vs Architect.ai outputs”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“Traditional workflow vs AI workflow”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ajx7e66v4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2 — Build in Public (Highest Trust)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follow journeys.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“Day 12 building architect.ai”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“Today I fixed our wall segmentation issue”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“Our AI kept generating unrealistic lighting — here’s how we solved it”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“First 10 waitlist signups”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 learned after showing this to 5 architects”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3ztz7tpzs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3 — Industry Insight / Contrarian Takes (Authority)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“Most architecture firms are wasting hundreds of hours on revisions”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“Mood boards are becoming obsolete”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“Architects won’t be replaced by AI. Visualization studios might.”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real bottleneck in architecture isn’t creativity — it’s iteration speed.”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