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F7CD" w14:textId="77777777" w:rsidR="000433CC" w:rsidRPr="008049C2" w:rsidRDefault="00000000">
      <w:pPr>
        <w:pStyle w:val="Heading1"/>
        <w:rPr>
          <w:rFonts w:ascii="Times New Roman" w:hAnsi="Times New Roman" w:cs="Times New Roman"/>
          <w:sz w:val="32"/>
          <w:szCs w:val="32"/>
        </w:rPr>
      </w:pPr>
      <w:bookmarkStart w:id="0" w:name="Xc2706d1663a5b5c9ff744acfdaddbb8ecfe987b"/>
      <w:r w:rsidRPr="008049C2">
        <w:rPr>
          <w:rFonts w:ascii="Times New Roman" w:hAnsi="Times New Roman" w:cs="Times New Roman"/>
          <w:sz w:val="32"/>
          <w:szCs w:val="32"/>
        </w:rPr>
        <w:t>Quantum-Assisted Physics-Informed Neural Networks for the Transient Heat Equation</w:t>
      </w:r>
    </w:p>
    <w:p w14:paraId="47625421" w14:textId="77777777" w:rsidR="000433CC" w:rsidRPr="008049C2" w:rsidRDefault="00000000">
      <w:pPr>
        <w:pStyle w:val="Heading3"/>
        <w:rPr>
          <w:rFonts w:ascii="Times New Roman" w:hAnsi="Times New Roman" w:cs="Times New Roman"/>
          <w:sz w:val="24"/>
          <w:szCs w:val="24"/>
        </w:rPr>
      </w:pPr>
      <w:bookmarkStart w:id="1" w:name="comprehensive-technical-research-report"/>
      <w:r w:rsidRPr="008049C2">
        <w:rPr>
          <w:rFonts w:ascii="Times New Roman" w:hAnsi="Times New Roman" w:cs="Times New Roman"/>
          <w:sz w:val="24"/>
          <w:szCs w:val="24"/>
        </w:rPr>
        <w:t>Comprehensive Technical Research Report</w:t>
      </w:r>
    </w:p>
    <w:p w14:paraId="22425C1E"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b/>
          <w:bCs/>
        </w:rPr>
        <w:t>Team Members:</w:t>
      </w:r>
      <w:r w:rsidRPr="008049C2">
        <w:rPr>
          <w:rFonts w:ascii="Times New Roman" w:hAnsi="Times New Roman" w:cs="Times New Roman"/>
        </w:rPr>
        <w:br/>
        <w:t xml:space="preserve">- </w:t>
      </w:r>
      <w:r w:rsidRPr="008049C2">
        <w:rPr>
          <w:rFonts w:ascii="Times New Roman" w:hAnsi="Times New Roman" w:cs="Times New Roman"/>
          <w:b/>
          <w:bCs/>
        </w:rPr>
        <w:t>Hariharan A</w:t>
      </w:r>
      <w:r w:rsidRPr="008049C2">
        <w:rPr>
          <w:rFonts w:ascii="Times New Roman" w:hAnsi="Times New Roman" w:cs="Times New Roman"/>
        </w:rPr>
        <w:t xml:space="preserve"> (hariharan.a1030@gmail.com)</w:t>
      </w:r>
      <w:r w:rsidRPr="008049C2">
        <w:rPr>
          <w:rFonts w:ascii="Times New Roman" w:hAnsi="Times New Roman" w:cs="Times New Roman"/>
        </w:rPr>
        <w:br/>
        <w:t xml:space="preserve">- </w:t>
      </w:r>
      <w:r w:rsidRPr="008049C2">
        <w:rPr>
          <w:rFonts w:ascii="Times New Roman" w:hAnsi="Times New Roman" w:cs="Times New Roman"/>
          <w:b/>
          <w:bCs/>
        </w:rPr>
        <w:t>Harish M S</w:t>
      </w:r>
      <w:r w:rsidRPr="008049C2">
        <w:rPr>
          <w:rFonts w:ascii="Times New Roman" w:hAnsi="Times New Roman" w:cs="Times New Roman"/>
        </w:rPr>
        <w:t xml:space="preserve"> (harish.work.in0@gmail.com)</w:t>
      </w:r>
      <w:r w:rsidRPr="008049C2">
        <w:rPr>
          <w:rFonts w:ascii="Times New Roman" w:hAnsi="Times New Roman" w:cs="Times New Roman"/>
        </w:rPr>
        <w:br/>
        <w:t xml:space="preserve">- </w:t>
      </w:r>
      <w:r w:rsidRPr="008049C2">
        <w:rPr>
          <w:rFonts w:ascii="Times New Roman" w:hAnsi="Times New Roman" w:cs="Times New Roman"/>
          <w:b/>
          <w:bCs/>
        </w:rPr>
        <w:t>Hariharan S</w:t>
      </w:r>
      <w:r w:rsidRPr="008049C2">
        <w:rPr>
          <w:rFonts w:ascii="Times New Roman" w:hAnsi="Times New Roman" w:cs="Times New Roman"/>
        </w:rPr>
        <w:t xml:space="preserve"> (s.hariharan4975@gmail.com)</w:t>
      </w:r>
    </w:p>
    <w:p w14:paraId="66D4B47A"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6A47049F">
          <v:rect id="_x0000_i2300" style="width:0;height:1.5pt" o:hralign="center" o:hrstd="t" o:hr="t"/>
        </w:pict>
      </w:r>
    </w:p>
    <w:p w14:paraId="091C9466" w14:textId="77777777" w:rsidR="000433CC" w:rsidRPr="008049C2" w:rsidRDefault="00000000">
      <w:pPr>
        <w:pStyle w:val="Heading2"/>
        <w:rPr>
          <w:rFonts w:ascii="Times New Roman" w:hAnsi="Times New Roman" w:cs="Times New Roman"/>
          <w:sz w:val="24"/>
          <w:szCs w:val="24"/>
        </w:rPr>
      </w:pPr>
      <w:bookmarkStart w:id="2" w:name="abstract"/>
      <w:bookmarkEnd w:id="1"/>
      <w:r w:rsidRPr="008049C2">
        <w:rPr>
          <w:rFonts w:ascii="Times New Roman" w:hAnsi="Times New Roman" w:cs="Times New Roman"/>
          <w:sz w:val="24"/>
          <w:szCs w:val="24"/>
        </w:rPr>
        <w:t>1. Abstract</w:t>
      </w:r>
    </w:p>
    <w:p w14:paraId="2875CBFF"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This research evaluates the efficacy of Quantum-Assisted Physics-Informed Neural Networks (QA-PINNs) against classical PINNs and traditional Computational Fluid Dynamics (CFD) methods. Our focus is solving the transient heat conduction equation across one-, two-, and three-dimensional (1D, 2D, 3D) domains. The central goal is to determine if incorporating quantum Fourier feature maps into the input layers of PINNs can effectively reduce spectral bias while maintaining comparable accuracy with significantly fewer trainable parameters.</w:t>
      </w:r>
    </w:p>
    <w:p w14:paraId="4A1FBF4A"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Using Stainless Steel 304—a common aerospace alloy—as our benchmark, we generated high-fidelity datasets using implicit Finite Difference Methods (FDM). We then built a classical PINN baseline (Model A) with a deep multi-layer perceptron and a quantum-assisted version (Model B) powered by PennyLane variational quantum circuits. Performance was measured using Root Mean Square Error (RMSE), Mean Absolute Error (MAE), Maximum Absolute Error, Relative L2 Error, and the standard deviation of the PDE residual.</w:t>
      </w:r>
    </w:p>
    <w:p w14:paraId="3EFA68ED"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Our findings reveal a distinct trade-off between the number of parameters and overall predictive accuracy. The classical PINN demonstrated robust convergence (3D RMSE: 1.50) but required over 26,000 trainable parameters. Remarkably, the QA-PINN achieved its results using just 225 parameters in the 3D space, demonstrating extreme parameter efficiency. However, this efficiency resulted in a higher prediction error (3D RMSE: 12.27). This report provides a detailed breakdown of our mathematical models, network architectures, classical baselines, and an in-depth analysis of the quantum advantages in parameter scaling for thermodynamic simulations.</w:t>
      </w:r>
    </w:p>
    <w:p w14:paraId="27982D48"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41894079">
          <v:rect id="_x0000_i2301" style="width:0;height:1.5pt" o:hralign="center" o:hrstd="t" o:hr="t"/>
        </w:pict>
      </w:r>
    </w:p>
    <w:p w14:paraId="140DED30" w14:textId="77777777" w:rsidR="000433CC" w:rsidRPr="008049C2" w:rsidRDefault="00000000">
      <w:pPr>
        <w:pStyle w:val="Heading2"/>
        <w:rPr>
          <w:rFonts w:ascii="Times New Roman" w:hAnsi="Times New Roman" w:cs="Times New Roman"/>
          <w:sz w:val="24"/>
          <w:szCs w:val="24"/>
        </w:rPr>
      </w:pPr>
      <w:bookmarkStart w:id="3" w:name="introduction"/>
      <w:bookmarkEnd w:id="2"/>
      <w:r w:rsidRPr="008049C2">
        <w:rPr>
          <w:rFonts w:ascii="Times New Roman" w:hAnsi="Times New Roman" w:cs="Times New Roman"/>
          <w:sz w:val="24"/>
          <w:szCs w:val="24"/>
        </w:rPr>
        <w:t>2. Introduction</w:t>
      </w:r>
    </w:p>
    <w:p w14:paraId="75510F98" w14:textId="77777777" w:rsidR="000433CC" w:rsidRPr="008049C2" w:rsidRDefault="00000000">
      <w:pPr>
        <w:pStyle w:val="Heading3"/>
        <w:rPr>
          <w:rFonts w:ascii="Times New Roman" w:hAnsi="Times New Roman" w:cs="Times New Roman"/>
          <w:sz w:val="24"/>
          <w:szCs w:val="24"/>
        </w:rPr>
      </w:pPr>
      <w:bookmarkStart w:id="4" w:name="context-and-aerospace-motivation"/>
      <w:r w:rsidRPr="008049C2">
        <w:rPr>
          <w:rFonts w:ascii="Times New Roman" w:hAnsi="Times New Roman" w:cs="Times New Roman"/>
          <w:sz w:val="24"/>
          <w:szCs w:val="24"/>
        </w:rPr>
        <w:t>2.1 Context and Aerospace Motivation</w:t>
      </w:r>
    </w:p>
    <w:p w14:paraId="41D02D29"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The accurate and rapid prediction of transient thermal behavior remains one of the most critical challenges in modern engineering, particularly in the aerospace, aeronautical, and automotive sectors. High-performance vehicles, such as hypersonic glide vehicles, spacecraft re-entry capsules, and next-generation supersonic transports, are frequently subjected to severe aerothermodynamic heating environments. During hypersonic flight or atmospheric re-entry, the </w:t>
      </w:r>
      <w:r w:rsidRPr="008049C2">
        <w:rPr>
          <w:rFonts w:ascii="Times New Roman" w:hAnsi="Times New Roman" w:cs="Times New Roman"/>
        </w:rPr>
        <w:lastRenderedPageBreak/>
        <w:t>bow shock generated by the vehicle compresses the atmospheric gas to extreme temperatures, resulting in immense heat fluxes being transferred to the vehicle’s surface.</w:t>
      </w:r>
    </w:p>
    <w:p w14:paraId="6A6149F2"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To prevent structural degradation or catastrophic failure, these vehicles require sophisticated Thermal Protection Systems (TPS). The design and optimization of a TPS heavily rely on predicting how heat diffuses through various materials over time. Traditionally, engineers have modeled these phenomena by solving complex Partial Differential Equations (PDEs)—specifically, formulations derived from Fourier’s law of heat conduction—using grid-based numerical techniques such as Finite Element Analysis (FEA), Finite Volume Methods (FVM), or Computational Fluid Dynamics (CFD).</w:t>
      </w:r>
    </w:p>
    <w:p w14:paraId="315EB0C4"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While classical numerical schemes like the implicit Crank-Nicolson method or the Alternating Direction Implicit (ADI) method boast high accuracy and stability, they are computationally exorbitant. Their reliance on spatial discretization requires the generation of dense, high-resolution meshes to capture sharp thermal gradients accurately. As the dimensionality of the problem increases from 1D to 3D, the number of grid points—and consequently the size of the required matrix inversions—scales exponentially. This phenomenon, known as the “curse of dimensionality,” severely limits the utility of traditional CFD for real-time simulations, digital twins, and rapid iterative design processes.</w:t>
      </w:r>
    </w:p>
    <w:p w14:paraId="18B01F9B" w14:textId="77777777" w:rsidR="000433CC" w:rsidRPr="008049C2" w:rsidRDefault="00000000">
      <w:pPr>
        <w:pStyle w:val="Heading3"/>
        <w:rPr>
          <w:rFonts w:ascii="Times New Roman" w:hAnsi="Times New Roman" w:cs="Times New Roman"/>
          <w:sz w:val="24"/>
          <w:szCs w:val="24"/>
        </w:rPr>
      </w:pPr>
      <w:bookmarkStart w:id="5" w:name="Xec4b7fd6270d41ff339de19c7106dacebe32a18"/>
      <w:bookmarkEnd w:id="4"/>
      <w:r w:rsidRPr="008049C2">
        <w:rPr>
          <w:rFonts w:ascii="Times New Roman" w:hAnsi="Times New Roman" w:cs="Times New Roman"/>
          <w:sz w:val="24"/>
          <w:szCs w:val="24"/>
        </w:rPr>
        <w:t>2.2 The Paradigm Shift to Physics-Informed Machine Learning</w:t>
      </w:r>
    </w:p>
    <w:p w14:paraId="37B92CF7"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Driven by the imperative to bypass the prohibitive computational costs of high-fidelity grid-based solvers, the scientific computing community has increasingly turned to deep learning paradigms. Foremost among these innovations are Physics-Informed Neural Networks (PINNs). First popularized by Raissi, Perdikaris, and Karniadakis in 2019, PINNs present a revolutionary, mesh-free framework for approximating the solutions to both forward and inverse PDE problems.</w:t>
      </w:r>
    </w:p>
    <w:p w14:paraId="55FEC749"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Instead of relying strictly on massive, pre-computed labeled datasets (as is typical in standard supervised learning), PINNs leverage the analytical power of automatic differentiation. By directly computing the spatial and temporal derivatives of the neural network’s output with respect to its inputs, PINNs can evaluate the governing PDE exactly at any given coordinate. The residuals of the PDE, along with prescribed initial and boundary conditions, are incorporated directly into the network’s loss function. This “physics-informed” regularization forces the neural network to learn a solution that inherently respects the fundamental physical laws governing the system.</w:t>
      </w:r>
    </w:p>
    <w:p w14:paraId="2A302745"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Despite their theoretical elegance, standard PINNs—which are typically constructed using deep, fully connected Multi-Layer Perceptrons (MLPs)—are not without substantial flaws. They frequently suffer from a phenomenon known as </w:t>
      </w:r>
      <w:r w:rsidRPr="008049C2">
        <w:rPr>
          <w:rFonts w:ascii="Times New Roman" w:hAnsi="Times New Roman" w:cs="Times New Roman"/>
          <w:i/>
          <w:iCs/>
        </w:rPr>
        <w:t>spectral bias</w:t>
      </w:r>
      <w:r w:rsidRPr="008049C2">
        <w:rPr>
          <w:rFonts w:ascii="Times New Roman" w:hAnsi="Times New Roman" w:cs="Times New Roman"/>
        </w:rPr>
        <w:t xml:space="preserve"> or the </w:t>
      </w:r>
      <w:r w:rsidRPr="008049C2">
        <w:rPr>
          <w:rFonts w:ascii="Times New Roman" w:hAnsi="Times New Roman" w:cs="Times New Roman"/>
          <w:i/>
          <w:iCs/>
        </w:rPr>
        <w:t>F-principle</w:t>
      </w:r>
      <w:r w:rsidRPr="008049C2">
        <w:rPr>
          <w:rFonts w:ascii="Times New Roman" w:hAnsi="Times New Roman" w:cs="Times New Roman"/>
        </w:rPr>
        <w:t>. Deep neural networks naturally exhibit a strong preference for learning smooth, low-frequency functions during the early stages of gradient descent training, while struggling immensely to capture high-frequency details. In the context of transient thermal modeling, this spectral bias manifests as an inability to accurately resolve sharp thermal gradients, localized heat shocks, or rapidly evolving boundary layers, without resorting to excessively large networks and computationally expensive hyperparameter tuning.</w:t>
      </w:r>
    </w:p>
    <w:p w14:paraId="145F3D30" w14:textId="77777777" w:rsidR="000433CC" w:rsidRPr="008049C2" w:rsidRDefault="00000000">
      <w:pPr>
        <w:pStyle w:val="Heading3"/>
        <w:rPr>
          <w:rFonts w:ascii="Times New Roman" w:hAnsi="Times New Roman" w:cs="Times New Roman"/>
          <w:sz w:val="24"/>
          <w:szCs w:val="24"/>
        </w:rPr>
      </w:pPr>
      <w:bookmarkStart w:id="6" w:name="the-promise-of-quantum-machine-learning"/>
      <w:bookmarkEnd w:id="5"/>
      <w:r w:rsidRPr="008049C2">
        <w:rPr>
          <w:rFonts w:ascii="Times New Roman" w:hAnsi="Times New Roman" w:cs="Times New Roman"/>
          <w:sz w:val="24"/>
          <w:szCs w:val="24"/>
        </w:rPr>
        <w:lastRenderedPageBreak/>
        <w:t>2.3 The Promise of Quantum Machine Learning</w:t>
      </w:r>
    </w:p>
    <w:p w14:paraId="24BB19FB"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Concurrent with the rise of PINNs, Quantum Machine Learning (QML) has emerged as a disruptive computational paradigm. By leveraging the principles of quantum mechanics—namely superposition, entanglement, and interference—quantum computers offer fundamentally new ways to represent and process information. In the noisy intermediate-scale quantum (NISQ) era, Variational Quantum Algorithms (VQAs) and Quantum Neural Networks (QNNs) have gained significant traction. These hybrid algorithms utilize parameterized quantum circuits (PQCs) whose gates are optimized by classical hardware.</w:t>
      </w:r>
    </w:p>
    <w:p w14:paraId="38E066DC"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Recent theoretical breakthroughs have established a profound connection between QNNs and classical Fourier analysis. It has been mathematically proven that when classical data is encoded into a quantum circuit via repeated Pauli rotation gates (a process known as data re-uploading), the resulting quantum model behaves identically to a truncated Fourier series. The specific frequency spectrum accessible by this Fourier series is deterministically governed by the structure of the quantum encoding gates, rather than being learned strictly from the data.</w:t>
      </w:r>
    </w:p>
    <w:p w14:paraId="13D6D400"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This characteristic presents a unique, untapped opportunity for scientific machine learning. By thoughtfully designing a quantum feature map, we can theoretically inject arbitrary, high-frequency expressivity directly into the input layer of a neural network. This explicit allocation of frequency bandwidth holds the potential to directly counteract the classical spectral bias problem, enabling models to resolve sharp gradients without inflating parameter counts.</w:t>
      </w:r>
    </w:p>
    <w:p w14:paraId="338FC1D1" w14:textId="77777777" w:rsidR="000433CC" w:rsidRPr="008049C2" w:rsidRDefault="00000000">
      <w:pPr>
        <w:pStyle w:val="Heading3"/>
        <w:rPr>
          <w:rFonts w:ascii="Times New Roman" w:hAnsi="Times New Roman" w:cs="Times New Roman"/>
          <w:sz w:val="24"/>
          <w:szCs w:val="24"/>
        </w:rPr>
      </w:pPr>
      <w:bookmarkStart w:id="7" w:name="research-objectives-and-scope"/>
      <w:bookmarkEnd w:id="6"/>
      <w:r w:rsidRPr="008049C2">
        <w:rPr>
          <w:rFonts w:ascii="Times New Roman" w:hAnsi="Times New Roman" w:cs="Times New Roman"/>
          <w:sz w:val="24"/>
          <w:szCs w:val="24"/>
        </w:rPr>
        <w:t>2.4 Research Objectives and Scope</w:t>
      </w:r>
    </w:p>
    <w:p w14:paraId="2D0B4326"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This research project conducts a rigorous, multi-dimensional benchmarking study to evaluate the efficacy of Classical PINNs against a novel hybrid architecture: the Quantum-Assisted PINN (QA-PINN). The primary objective is to investigate the following core research question: </w:t>
      </w:r>
      <w:r w:rsidRPr="008049C2">
        <w:rPr>
          <w:rFonts w:ascii="Times New Roman" w:hAnsi="Times New Roman" w:cs="Times New Roman"/>
          <w:i/>
          <w:iCs/>
        </w:rPr>
        <w:t>Can the integration of a quantum Fourier feature map enhance a PINN’s predictive accuracy, mitigate spectral bias, or drastically improve parameter efficiency when solving the transient heat equation?</w:t>
      </w:r>
    </w:p>
    <w:p w14:paraId="241BC294"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To comprehensively answer this question, our experimental framework encompasses: 1. </w:t>
      </w:r>
      <w:r w:rsidRPr="008049C2">
        <w:rPr>
          <w:rFonts w:ascii="Times New Roman" w:hAnsi="Times New Roman" w:cs="Times New Roman"/>
          <w:b/>
          <w:bCs/>
        </w:rPr>
        <w:t>High-Fidelity Baselines:</w:t>
      </w:r>
      <w:r w:rsidRPr="008049C2">
        <w:rPr>
          <w:rFonts w:ascii="Times New Roman" w:hAnsi="Times New Roman" w:cs="Times New Roman"/>
        </w:rPr>
        <w:t xml:space="preserve"> Developing customized, highly stable implicit CFD solvers to generate immutable ground-truth datasets for 1D, 2D, and 3D spatiotemporal domains. 2. </w:t>
      </w:r>
      <w:r w:rsidRPr="008049C2">
        <w:rPr>
          <w:rFonts w:ascii="Times New Roman" w:hAnsi="Times New Roman" w:cs="Times New Roman"/>
          <w:b/>
          <w:bCs/>
        </w:rPr>
        <w:t>Material Generalization:</w:t>
      </w:r>
      <w:r w:rsidRPr="008049C2">
        <w:rPr>
          <w:rFonts w:ascii="Times New Roman" w:hAnsi="Times New Roman" w:cs="Times New Roman"/>
        </w:rPr>
        <w:t xml:space="preserve"> Constructing an extensive thermodynamic database of 14 industrial materials (with a primary focus on Aerospace Stainless Steel 304) to evaluate the models across varying thermal diffusivities. 3. </w:t>
      </w:r>
      <w:r w:rsidRPr="008049C2">
        <w:rPr>
          <w:rFonts w:ascii="Times New Roman" w:hAnsi="Times New Roman" w:cs="Times New Roman"/>
          <w:b/>
          <w:bCs/>
        </w:rPr>
        <w:t>Classical Optimization:</w:t>
      </w:r>
      <w:r w:rsidRPr="008049C2">
        <w:rPr>
          <w:rFonts w:ascii="Times New Roman" w:hAnsi="Times New Roman" w:cs="Times New Roman"/>
        </w:rPr>
        <w:t xml:space="preserve"> Implementing a highly optimized classical PINN baseline utilizing a dual-stage training strategy (Adam followed by L-BFGS). 4. </w:t>
      </w:r>
      <w:r w:rsidRPr="008049C2">
        <w:rPr>
          <w:rFonts w:ascii="Times New Roman" w:hAnsi="Times New Roman" w:cs="Times New Roman"/>
          <w:b/>
          <w:bCs/>
        </w:rPr>
        <w:t>Quantum Integration:</w:t>
      </w:r>
      <w:r w:rsidRPr="008049C2">
        <w:rPr>
          <w:rFonts w:ascii="Times New Roman" w:hAnsi="Times New Roman" w:cs="Times New Roman"/>
        </w:rPr>
        <w:t xml:space="preserve"> Developing a state-of-the-art QA-PINN utilizing PennyLane to seamlessly integrate variational quantum circuits with classical deep learning heads. 5. </w:t>
      </w:r>
      <w:r w:rsidRPr="008049C2">
        <w:rPr>
          <w:rFonts w:ascii="Times New Roman" w:hAnsi="Times New Roman" w:cs="Times New Roman"/>
          <w:b/>
          <w:bCs/>
        </w:rPr>
        <w:t>Multi-Faceted Evaluation:</w:t>
      </w:r>
      <w:r w:rsidRPr="008049C2">
        <w:rPr>
          <w:rFonts w:ascii="Times New Roman" w:hAnsi="Times New Roman" w:cs="Times New Roman"/>
        </w:rPr>
        <w:t xml:space="preserve"> Systematically analyzing the complex trade-offs between model parameter count, training memory footprint, and rigorous physical accuracy metrics across escalating spatial dimensions.</w:t>
      </w:r>
    </w:p>
    <w:p w14:paraId="58045CF7"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497B2D56">
          <v:rect id="_x0000_i2302" style="width:0;height:1.5pt" o:hralign="center" o:hrstd="t" o:hr="t"/>
        </w:pict>
      </w:r>
    </w:p>
    <w:p w14:paraId="5A327A0A" w14:textId="77777777" w:rsidR="000433CC" w:rsidRPr="008049C2" w:rsidRDefault="00000000">
      <w:pPr>
        <w:pStyle w:val="Heading2"/>
        <w:rPr>
          <w:rFonts w:ascii="Times New Roman" w:hAnsi="Times New Roman" w:cs="Times New Roman"/>
          <w:sz w:val="24"/>
          <w:szCs w:val="24"/>
        </w:rPr>
      </w:pPr>
      <w:bookmarkStart w:id="8" w:name="literature-review-1"/>
      <w:bookmarkEnd w:id="3"/>
      <w:bookmarkEnd w:id="7"/>
      <w:r w:rsidRPr="008049C2">
        <w:rPr>
          <w:rFonts w:ascii="Times New Roman" w:hAnsi="Times New Roman" w:cs="Times New Roman"/>
          <w:sz w:val="24"/>
          <w:szCs w:val="24"/>
        </w:rPr>
        <w:lastRenderedPageBreak/>
        <w:t>3. Literature Review</w:t>
      </w:r>
    </w:p>
    <w:p w14:paraId="5D80A879" w14:textId="77777777" w:rsidR="000433CC" w:rsidRPr="008049C2" w:rsidRDefault="00000000">
      <w:pPr>
        <w:pStyle w:val="Heading3"/>
        <w:rPr>
          <w:rFonts w:ascii="Times New Roman" w:hAnsi="Times New Roman" w:cs="Times New Roman"/>
          <w:sz w:val="24"/>
          <w:szCs w:val="24"/>
        </w:rPr>
      </w:pPr>
      <w:bookmarkStart w:id="9" w:name="classical-cfd-for-heat-transfer"/>
      <w:r w:rsidRPr="008049C2">
        <w:rPr>
          <w:rFonts w:ascii="Times New Roman" w:hAnsi="Times New Roman" w:cs="Times New Roman"/>
          <w:sz w:val="24"/>
          <w:szCs w:val="24"/>
        </w:rPr>
        <w:t>3.1 Classical CFD for Heat Transfer</w:t>
      </w:r>
    </w:p>
    <w:p w14:paraId="2BCC17CE"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The numerical solution of parabolic partial differential equations, such as the heat equation, has evolved continuously over the past century. Early explicit finite difference schemes, such as the Forward-Time Central-Space (FTCS) method, offered mathematical simplicity and ease of implementation. However, explicit schemes are fundamentally constrained by the Courant-Friedrichs-Lewy (CFL) stability condition. For the 1D heat equation, this mathematically restricts the temporal step size </w:t>
      </w:r>
      <m:oMath>
        <m:r>
          <m:rPr>
            <m:sty m:val="p"/>
          </m:rPr>
          <w:rPr>
            <w:rFonts w:ascii="Cambria Math" w:hAnsi="Cambria Math" w:cs="Times New Roman"/>
          </w:rPr>
          <m:t>Δ</m:t>
        </m:r>
        <m:r>
          <w:rPr>
            <w:rFonts w:ascii="Cambria Math" w:hAnsi="Cambria Math" w:cs="Times New Roman"/>
          </w:rPr>
          <m:t>t</m:t>
        </m:r>
      </m:oMath>
      <w:r w:rsidRPr="008049C2">
        <w:rPr>
          <w:rFonts w:ascii="Times New Roman" w:hAnsi="Times New Roman" w:cs="Times New Roman"/>
        </w:rPr>
        <w:t xml:space="preserve"> such that </w:t>
      </w:r>
      <m:oMath>
        <m:r>
          <w:rPr>
            <w:rFonts w:ascii="Cambria Math" w:hAnsi="Cambria Math" w:cs="Times New Roman"/>
          </w:rPr>
          <m:t>α</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/(Δ</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0.5</m:t>
        </m:r>
      </m:oMath>
      <w:r w:rsidRPr="008049C2">
        <w:rPr>
          <w:rFonts w:ascii="Times New Roman" w:hAnsi="Times New Roman" w:cs="Times New Roman"/>
        </w:rPr>
        <w:t>. If this threshold is exceeded, the numerical errors amplify exponentially, leading to non-physical, unbounded oscillations.</w:t>
      </w:r>
    </w:p>
    <w:p w14:paraId="4FB9F840"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To circumvent the severe time-step limitations of explicit methods, implicit schemes were developed. The Crank-Nicolson method, formulated in 1947, represented a major breakthrough for 1D diffusion problems. By averaging the explicit (forward Euler) and implicit (backward Euler) approximations, Crank-Nicolson achieves second-order accuracy in both space and time (</w:t>
      </w:r>
      <m:oMath>
        <m:r>
          <m:rPr>
            <m:scr m:val="script"/>
            <m:sty m:val="p"/>
          </m:rPr>
          <w:rPr>
            <w:rFonts w:ascii="Cambria Math" w:hAnsi="Cambria Math" w:cs="Times New Roman"/>
          </w:rPr>
          <m:t>O</m:t>
        </m:r>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oMath>
      <w:r w:rsidRPr="008049C2">
        <w:rPr>
          <w:rFonts w:ascii="Times New Roman" w:hAnsi="Times New Roman" w:cs="Times New Roman"/>
        </w:rPr>
        <w:t xml:space="preserve">) and is unconditionally stable regardless of the time step size. It reduces the problem to solving a tridiagonal system of linear equations, which is computed in </w:t>
      </w:r>
      <m:oMath>
        <m:r>
          <m:rPr>
            <m:scr m:val="script"/>
            <m:sty m:val="p"/>
          </m:rPr>
          <w:rPr>
            <w:rFonts w:ascii="Cambria Math" w:hAnsi="Cambria Math" w:cs="Times New Roman"/>
          </w:rPr>
          <m:t>O(</m:t>
        </m:r>
        <m:r>
          <w:rPr>
            <w:rFonts w:ascii="Cambria Math" w:hAnsi="Cambria Math" w:cs="Times New Roman"/>
          </w:rPr>
          <m:t>N</m:t>
        </m:r>
        <m:r>
          <m:rPr>
            <m:sty m:val="p"/>
          </m:rPr>
          <w:rPr>
            <w:rFonts w:ascii="Cambria Math" w:hAnsi="Cambria Math" w:cs="Times New Roman"/>
          </w:rPr>
          <m:t>)</m:t>
        </m:r>
      </m:oMath>
      <w:r w:rsidRPr="008049C2">
        <w:rPr>
          <w:rFonts w:ascii="Times New Roman" w:hAnsi="Times New Roman" w:cs="Times New Roman"/>
        </w:rPr>
        <w:t xml:space="preserve"> time via Thomas’s algorithm.</w:t>
      </w:r>
    </w:p>
    <w:p w14:paraId="2C7594DB"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However, applying purely implicit methods to two- and three-dimensional domains yields massive, banded, sparse matrices. Inverting these matrices directly is computationally prohibitive, scaling at </w:t>
      </w:r>
      <m:oMath>
        <m:r>
          <m:rPr>
            <m:scr m:val="script"/>
            <m:sty m:val="p"/>
          </m:rP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m:rPr>
            <m:sty m:val="p"/>
          </m:rPr>
          <w:rPr>
            <w:rFonts w:ascii="Cambria Math" w:hAnsi="Cambria Math" w:cs="Times New Roman"/>
          </w:rPr>
          <m:t>)</m:t>
        </m:r>
      </m:oMath>
      <w:r w:rsidRPr="008049C2">
        <w:rPr>
          <w:rFonts w:ascii="Times New Roman" w:hAnsi="Times New Roman" w:cs="Times New Roman"/>
        </w:rPr>
        <w:t xml:space="preserve"> for naïve solvers. To address this, Peaceman and Rachford (1955) introduced the Alternating Direction Implicit (ADI) method. ADI splits a single multi-dimensional time step into a sequence of simpler 1D implicit steps—solving first along the </w:t>
      </w:r>
      <m:oMath>
        <m:r>
          <w:rPr>
            <w:rFonts w:ascii="Cambria Math" w:hAnsi="Cambria Math" w:cs="Times New Roman"/>
          </w:rPr>
          <m:t>x</m:t>
        </m:r>
      </m:oMath>
      <w:r w:rsidRPr="008049C2">
        <w:rPr>
          <w:rFonts w:ascii="Times New Roman" w:hAnsi="Times New Roman" w:cs="Times New Roman"/>
        </w:rPr>
        <w:t xml:space="preserve">-axis while treating </w:t>
      </w:r>
      <m:oMath>
        <m:r>
          <w:rPr>
            <w:rFonts w:ascii="Cambria Math" w:hAnsi="Cambria Math" w:cs="Times New Roman"/>
          </w:rPr>
          <m:t>y</m:t>
        </m:r>
      </m:oMath>
      <w:r w:rsidRPr="008049C2">
        <w:rPr>
          <w:rFonts w:ascii="Times New Roman" w:hAnsi="Times New Roman" w:cs="Times New Roman"/>
        </w:rPr>
        <w:t xml:space="preserve"> explicitly, and then alternating. This retains unconditional stability while drastically reducing computational overhead. Despite these algorithmic advances, high-fidelity 3D classical CFD still requires immense computational clusters for complex aerospace geometries, motivating the search for machine learning alternatives.</w:t>
      </w:r>
    </w:p>
    <w:p w14:paraId="35DC54B9" w14:textId="77777777" w:rsidR="000433CC" w:rsidRPr="008049C2" w:rsidRDefault="00000000">
      <w:pPr>
        <w:pStyle w:val="Heading3"/>
        <w:rPr>
          <w:rFonts w:ascii="Times New Roman" w:hAnsi="Times New Roman" w:cs="Times New Roman"/>
          <w:sz w:val="24"/>
          <w:szCs w:val="24"/>
        </w:rPr>
      </w:pPr>
      <w:bookmarkStart w:id="10" w:name="physics-informed-neural-networks-pinns"/>
      <w:bookmarkEnd w:id="9"/>
      <w:r w:rsidRPr="008049C2">
        <w:rPr>
          <w:rFonts w:ascii="Times New Roman" w:hAnsi="Times New Roman" w:cs="Times New Roman"/>
          <w:sz w:val="24"/>
          <w:szCs w:val="24"/>
        </w:rPr>
        <w:t>3.2 Physics-Informed Neural Networks (PINNs)</w:t>
      </w:r>
    </w:p>
    <w:p w14:paraId="60AB1BC4"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integration of deep learning with fundamental physics saw a paradigm shift with the formal introduction of Physics-Informed Neural Networks (PINNs) by Raissi, Perdikaris, and Karniadakis in 2019. Traditional supervised machine learning operates entirely as a “black box,” relying heavily on vast quantities of labeled data to infer relationships. PINNs disrupt this approach by embedding the mathematical structure of the governing PDEs directly into the network’s loss function.</w:t>
      </w:r>
    </w:p>
    <w:p w14:paraId="1F5510E3"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By leveraging automatic differentiation (autograd) frameworks built into libraries like PyTorch and TensorFlow, PINNs can compute the exact, analytical derivatives of a neural network with respect to its spatial and temporal inputs. The loss function of a PINN is a composite objective that simultaneously minimizes the PDE residual across the domain (collocation points), enforces boundary conditions, and ensures adherence to initial conditions. While PINNs have demonstrated extraordinary success in solving problems in solid mechanics, fluid dynamics (Navier-Stokes), and quantum mechanics (Schrödinger equation), they frequently struggle in multi-scale domains where sharp spatial or temporal gradients are present.</w:t>
      </w:r>
    </w:p>
    <w:p w14:paraId="1D759069" w14:textId="77777777" w:rsidR="000433CC" w:rsidRPr="008049C2" w:rsidRDefault="00000000">
      <w:pPr>
        <w:pStyle w:val="Heading3"/>
        <w:rPr>
          <w:rFonts w:ascii="Times New Roman" w:hAnsi="Times New Roman" w:cs="Times New Roman"/>
          <w:sz w:val="24"/>
          <w:szCs w:val="24"/>
        </w:rPr>
      </w:pPr>
      <w:bookmarkStart w:id="11" w:name="spectral-bias-in-deep-learning"/>
      <w:bookmarkEnd w:id="10"/>
      <w:r w:rsidRPr="008049C2">
        <w:rPr>
          <w:rFonts w:ascii="Times New Roman" w:hAnsi="Times New Roman" w:cs="Times New Roman"/>
          <w:sz w:val="24"/>
          <w:szCs w:val="24"/>
        </w:rPr>
        <w:lastRenderedPageBreak/>
        <w:t>3.3 Spectral Bias in Deep Learning</w:t>
      </w:r>
    </w:p>
    <w:p w14:paraId="4231CB9C"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A fundamental mathematical limitation of deep neural networks—and by extension, PINNs—is the phenomenon of </w:t>
      </w:r>
      <w:r w:rsidRPr="008049C2">
        <w:rPr>
          <w:rFonts w:ascii="Times New Roman" w:hAnsi="Times New Roman" w:cs="Times New Roman"/>
          <w:i/>
          <w:iCs/>
        </w:rPr>
        <w:t>spectral bias</w:t>
      </w:r>
      <w:r w:rsidRPr="008049C2">
        <w:rPr>
          <w:rFonts w:ascii="Times New Roman" w:hAnsi="Times New Roman" w:cs="Times New Roman"/>
        </w:rPr>
        <w:t>, also known as the frequency principle (F-principle). Formally investigated by Rahaman et al. (2019) and rigorously proved using Neural Tangent Kernel (NTK) theory, spectral bias dictates that deep networks equipped with standard activation functions (like ReLU, Tanh, or Sigmoid) naturally fit low-frequency functions exponentially faster than high-frequency ones.</w:t>
      </w:r>
    </w:p>
    <w:p w14:paraId="0B5CF3BF"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During gradient descent, the eigenvectors of the NTK corresponding to low-frequency features have significantly larger eigenvalues, causing the network to rapidly converge on smooth, macroscopic trends while completely ignoring microscopic, high-frequency oscillations. In the context of transient heat conduction, this means a PINN might easily learn an ambient temperature profile but will catastrophically fail to resolve sudden heat fluxes, thermal shocks, or sharp material interfaces, requiring either massively over-parameterized networks or computationally expensive, adaptive weighting schemes to resolve.</w:t>
      </w:r>
    </w:p>
    <w:p w14:paraId="07FF9239" w14:textId="77777777" w:rsidR="000433CC" w:rsidRPr="008049C2" w:rsidRDefault="00000000">
      <w:pPr>
        <w:pStyle w:val="Heading3"/>
        <w:rPr>
          <w:rFonts w:ascii="Times New Roman" w:hAnsi="Times New Roman" w:cs="Times New Roman"/>
          <w:sz w:val="24"/>
          <w:szCs w:val="24"/>
        </w:rPr>
      </w:pPr>
      <w:bookmarkStart w:id="12" w:name="X118a067095c9be05b64bffb6d81acb04ade56a1"/>
      <w:bookmarkEnd w:id="11"/>
      <w:r w:rsidRPr="008049C2">
        <w:rPr>
          <w:rFonts w:ascii="Times New Roman" w:hAnsi="Times New Roman" w:cs="Times New Roman"/>
          <w:sz w:val="24"/>
          <w:szCs w:val="24"/>
        </w:rPr>
        <w:t>3.4 Quantum Feature Maps and Data Re-uploading</w:t>
      </w:r>
    </w:p>
    <w:p w14:paraId="72995225"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Quantum computing introduces an entirely new mathematical framework for machine learning. Schuld, Sweke, and Meyer (2021) demonstrated a profound connection between parameterized quantum circuits and classical Fourier series. When classical data </w:t>
      </w:r>
      <m:oMath>
        <m:r>
          <w:rPr>
            <w:rFonts w:ascii="Cambria Math" w:hAnsi="Cambria Math" w:cs="Times New Roman"/>
          </w:rPr>
          <m:t>x</m:t>
        </m:r>
      </m:oMath>
      <w:r w:rsidRPr="008049C2">
        <w:rPr>
          <w:rFonts w:ascii="Times New Roman" w:hAnsi="Times New Roman" w:cs="Times New Roman"/>
        </w:rPr>
        <w:t xml:space="preserve"> is encoded into a quantum state via a Pauli rotation gate (e.g.,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8049C2">
        <w:rPr>
          <w:rFonts w:ascii="Times New Roman" w:hAnsi="Times New Roman" w:cs="Times New Roman"/>
        </w:rPr>
        <w:t>), the resulting quantum state vector exists in a complex Hilbert space.</w:t>
      </w:r>
    </w:p>
    <w:p w14:paraId="7EF1538B"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Crucially, if this encoding process is repeated sequentially, interspersed with trainable entangling layers (a technique known as data re-uploading), the quantum circuit naturally produces an output that is a truncated Fourier series with respect to the input data. The available frequency spectrum (the Fourier basis) grows combinatorially with the number of qubits and encoding repetitions.</w:t>
      </w:r>
    </w:p>
    <w:p w14:paraId="0B1EF050"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Our QA-PINN architecture directly leverages this insight. By completely replacing the classical input layers of a PINN with a carefully designed quantum feature map, we explicitly define the available Fourier spectrum of the model. This theoretically allows the network to bypass classical spectral bias, injecting the exact high-frequency expressivity needed to model sharp thermal gradients without relying on millions of classical parameters.</w:t>
      </w:r>
    </w:p>
    <w:p w14:paraId="3CF5E76F"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15870BBE">
          <v:rect id="_x0000_i2303" style="width:0;height:1.5pt" o:hralign="center" o:hrstd="t" o:hr="t"/>
        </w:pict>
      </w:r>
    </w:p>
    <w:p w14:paraId="13EBC92B" w14:textId="77777777" w:rsidR="000433CC" w:rsidRPr="008049C2" w:rsidRDefault="00000000">
      <w:pPr>
        <w:pStyle w:val="Heading2"/>
        <w:rPr>
          <w:rFonts w:ascii="Times New Roman" w:hAnsi="Times New Roman" w:cs="Times New Roman"/>
          <w:sz w:val="24"/>
          <w:szCs w:val="24"/>
        </w:rPr>
      </w:pPr>
      <w:bookmarkStart w:id="13" w:name="mathematical-formulation-1"/>
      <w:bookmarkEnd w:id="8"/>
      <w:bookmarkEnd w:id="12"/>
      <w:r w:rsidRPr="008049C2">
        <w:rPr>
          <w:rFonts w:ascii="Times New Roman" w:hAnsi="Times New Roman" w:cs="Times New Roman"/>
          <w:sz w:val="24"/>
          <w:szCs w:val="24"/>
        </w:rPr>
        <w:t>4. Mathematical Formulation</w:t>
      </w:r>
    </w:p>
    <w:p w14:paraId="579140F3" w14:textId="77777777" w:rsidR="000433CC" w:rsidRPr="008049C2" w:rsidRDefault="00000000">
      <w:pPr>
        <w:pStyle w:val="Heading3"/>
        <w:rPr>
          <w:rFonts w:ascii="Times New Roman" w:hAnsi="Times New Roman" w:cs="Times New Roman"/>
          <w:sz w:val="24"/>
          <w:szCs w:val="24"/>
        </w:rPr>
      </w:pPr>
      <w:bookmarkStart w:id="14" w:name="X44a2ed046a31d16114806c86d23a6b18f347037"/>
      <w:r w:rsidRPr="008049C2">
        <w:rPr>
          <w:rFonts w:ascii="Times New Roman" w:hAnsi="Times New Roman" w:cs="Times New Roman"/>
          <w:sz w:val="24"/>
          <w:szCs w:val="24"/>
        </w:rPr>
        <w:t>4.1 Derivation of the Transient Heat Conduction Equation</w:t>
      </w:r>
    </w:p>
    <w:p w14:paraId="7A758B4E"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The foundation of our thermodynamic model is derived directly from the principle of Conservation of Energy and Fourier’s Law of Heat Conduction. Consider an infinitesimal control volume </w:t>
      </w:r>
      <m:oMath>
        <m:r>
          <w:rPr>
            <w:rFonts w:ascii="Cambria Math" w:hAnsi="Cambria Math" w:cs="Times New Roman"/>
          </w:rPr>
          <m:t>V</m:t>
        </m:r>
      </m:oMath>
      <w:r w:rsidRPr="008049C2">
        <w:rPr>
          <w:rFonts w:ascii="Times New Roman" w:hAnsi="Times New Roman" w:cs="Times New Roman"/>
        </w:rPr>
        <w:t xml:space="preserve"> bounded by a surface </w:t>
      </w:r>
      <m:oMath>
        <m:r>
          <w:rPr>
            <w:rFonts w:ascii="Cambria Math" w:hAnsi="Cambria Math" w:cs="Times New Roman"/>
          </w:rPr>
          <m:t>S</m:t>
        </m:r>
      </m:oMath>
      <w:r w:rsidRPr="008049C2">
        <w:rPr>
          <w:rFonts w:ascii="Times New Roman" w:hAnsi="Times New Roman" w:cs="Times New Roman"/>
        </w:rPr>
        <w:t>. The rate of change of thermal energy within this volume must equal the net heat flux across its boundaries plus any internal heat generation.</w:t>
      </w:r>
    </w:p>
    <w:p w14:paraId="0A6E3829"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Fourier’s Law dictates that the heat flux vector </w:t>
      </w:r>
      <m:oMath>
        <m:acc>
          <m:accPr>
            <m:chr m:val="⃗"/>
            <m:ctrlPr>
              <w:rPr>
                <w:rFonts w:ascii="Cambria Math" w:hAnsi="Cambria Math" w:cs="Times New Roman"/>
              </w:rPr>
            </m:ctrlPr>
          </m:accPr>
          <m:e>
            <m:r>
              <w:rPr>
                <w:rFonts w:ascii="Cambria Math" w:hAnsi="Cambria Math" w:cs="Times New Roman"/>
              </w:rPr>
              <m:t>q</m:t>
            </m:r>
          </m:e>
        </m:acc>
      </m:oMath>
      <w:r w:rsidRPr="008049C2">
        <w:rPr>
          <w:rFonts w:ascii="Times New Roman" w:hAnsi="Times New Roman" w:cs="Times New Roman"/>
        </w:rPr>
        <w:t xml:space="preserve"> is proportional to the negative temperature gradient:</w:t>
      </w:r>
    </w:p>
    <w:p w14:paraId="416D2415" w14:textId="77777777" w:rsidR="000433CC" w:rsidRPr="008049C2"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u</m:t>
          </m:r>
        </m:oMath>
      </m:oMathPara>
    </w:p>
    <w:p w14:paraId="130E1365"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where </w:t>
      </w:r>
      <m:oMath>
        <m:r>
          <w:rPr>
            <w:rFonts w:ascii="Cambria Math" w:hAnsi="Cambria Math" w:cs="Times New Roman"/>
          </w:rPr>
          <m:t>k</m:t>
        </m:r>
      </m:oMath>
      <w:r w:rsidRPr="008049C2">
        <w:rPr>
          <w:rFonts w:ascii="Times New Roman" w:hAnsi="Times New Roman" w:cs="Times New Roman"/>
        </w:rPr>
        <w:t xml:space="preserve"> is the thermal conductivity of the material (</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K</m:t>
        </m:r>
      </m:oMath>
      <w:r w:rsidRPr="008049C2">
        <w:rPr>
          <w:rFonts w:ascii="Times New Roman" w:hAnsi="Times New Roman" w:cs="Times New Roman"/>
        </w:rPr>
        <w:t xml:space="preserve">) and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8049C2">
        <w:rPr>
          <w:rFonts w:ascii="Times New Roman" w:hAnsi="Times New Roman" w:cs="Times New Roman"/>
        </w:rPr>
        <w:t xml:space="preserve"> is the scalar temperature field.</w:t>
      </w:r>
    </w:p>
    <w:p w14:paraId="1E0AD466"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Applying the conservation of energy, the divergence of the heat flux relates to the time rate of change of temperature:</w:t>
      </w:r>
    </w:p>
    <w:p w14:paraId="20830434" w14:textId="77777777" w:rsidR="000433CC" w:rsidRPr="008049C2" w:rsidRDefault="00000000">
      <w:pPr>
        <w:pStyle w:val="BodyText"/>
        <w:rPr>
          <w:rFonts w:ascii="Times New Roman" w:hAnsi="Times New Roman" w:cs="Times New Roman"/>
        </w:rPr>
      </w:pPr>
      <m:oMathPara>
        <m:oMathParaPr>
          <m:jc m:val="center"/>
        </m:oMathParaPr>
        <m:oMath>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u</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gen</m:t>
              </m:r>
            </m:sub>
          </m:sSub>
        </m:oMath>
      </m:oMathPara>
    </w:p>
    <w:p w14:paraId="5D450CBD"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where </w:t>
      </w:r>
      <m:oMath>
        <m:r>
          <w:rPr>
            <w:rFonts w:ascii="Cambria Math" w:hAnsi="Cambria Math" w:cs="Times New Roman"/>
          </w:rPr>
          <m:t>ρ</m:t>
        </m:r>
      </m:oMath>
      <w:r w:rsidRPr="008049C2">
        <w:rPr>
          <w:rFonts w:ascii="Times New Roman" w:hAnsi="Times New Roman" w:cs="Times New Roman"/>
        </w:rPr>
        <w:t xml:space="preserve"> is the material density (</w:t>
      </w:r>
      <m:oMath>
        <m:r>
          <w:rPr>
            <w:rFonts w:ascii="Cambria Math" w:hAnsi="Cambria Math" w:cs="Times New Roman"/>
          </w:rPr>
          <m:t>kg</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oMath>
      <w:r w:rsidRPr="008049C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oMath>
      <w:r w:rsidRPr="008049C2">
        <w:rPr>
          <w:rFonts w:ascii="Times New Roman" w:hAnsi="Times New Roman" w:cs="Times New Roman"/>
        </w:rPr>
        <w:t xml:space="preserve"> is the specific heat capacity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kg</m:t>
        </m:r>
        <m:r>
          <m:rPr>
            <m:sty m:val="p"/>
          </m:rPr>
          <w:rPr>
            <w:rFonts w:ascii="Cambria Math" w:hAnsi="Cambria Math" w:cs="Times New Roman"/>
          </w:rPr>
          <m:t>⋅</m:t>
        </m:r>
        <m:r>
          <w:rPr>
            <w:rFonts w:ascii="Cambria Math" w:hAnsi="Cambria Math" w:cs="Times New Roman"/>
          </w:rPr>
          <m:t>K</m:t>
        </m:r>
      </m:oMath>
      <w:r w:rsidRPr="008049C2">
        <w:rPr>
          <w:rFonts w:ascii="Times New Roman" w:hAnsi="Times New Roman" w:cs="Times New Roman"/>
        </w:rPr>
        <w:t xml:space="preserve">),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gen</m:t>
            </m:r>
          </m:sub>
        </m:sSub>
      </m:oMath>
      <w:r w:rsidRPr="008049C2">
        <w:rPr>
          <w:rFonts w:ascii="Times New Roman" w:hAnsi="Times New Roman" w:cs="Times New Roman"/>
        </w:rPr>
        <w:t xml:space="preserve"> is the volumetric rate of internal heat generation.</w:t>
      </w:r>
    </w:p>
    <w:p w14:paraId="3D06A44C"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Substituting Fourier’s Law into the energy conservation equation yields the general 3D Parabolic Heat Equation:</w:t>
      </w:r>
    </w:p>
    <w:p w14:paraId="42D9D831" w14:textId="77777777" w:rsidR="000433CC" w:rsidRPr="008049C2" w:rsidRDefault="00000000">
      <w:pPr>
        <w:pStyle w:val="BodyText"/>
        <w:rPr>
          <w:rFonts w:ascii="Times New Roman" w:hAnsi="Times New Roman" w:cs="Times New Roman"/>
        </w:rPr>
      </w:pPr>
      <m:oMathPara>
        <m:oMathParaPr>
          <m:jc m:val="center"/>
        </m:oMathParaPr>
        <m:oMath>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u</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gen</m:t>
              </m:r>
            </m:sub>
          </m:sSub>
        </m:oMath>
      </m:oMathPara>
    </w:p>
    <w:p w14:paraId="3A47AECF"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Assuming an isotropic material where thermal conductivity </w:t>
      </w:r>
      <m:oMath>
        <m:r>
          <w:rPr>
            <w:rFonts w:ascii="Cambria Math" w:hAnsi="Cambria Math" w:cs="Times New Roman"/>
          </w:rPr>
          <m:t>k</m:t>
        </m:r>
      </m:oMath>
      <w:r w:rsidRPr="008049C2">
        <w:rPr>
          <w:rFonts w:ascii="Times New Roman" w:hAnsi="Times New Roman" w:cs="Times New Roman"/>
        </w:rPr>
        <w:t xml:space="preserve"> is uniform and independent of temperature, we can pull </w:t>
      </w:r>
      <m:oMath>
        <m:r>
          <w:rPr>
            <w:rFonts w:ascii="Cambria Math" w:hAnsi="Cambria Math" w:cs="Times New Roman"/>
          </w:rPr>
          <m:t>k</m:t>
        </m:r>
      </m:oMath>
      <w:r w:rsidRPr="008049C2">
        <w:rPr>
          <w:rFonts w:ascii="Times New Roman" w:hAnsi="Times New Roman" w:cs="Times New Roman"/>
        </w:rPr>
        <w:t xml:space="preserve"> out of the divergence operator. Dividing both sides by </w:t>
      </w:r>
      <m:oMath>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oMath>
      <w:r w:rsidRPr="008049C2">
        <w:rPr>
          <w:rFonts w:ascii="Times New Roman" w:hAnsi="Times New Roman" w:cs="Times New Roman"/>
        </w:rPr>
        <w:t xml:space="preserve">, we define the </w:t>
      </w:r>
      <w:r w:rsidRPr="008049C2">
        <w:rPr>
          <w:rFonts w:ascii="Times New Roman" w:hAnsi="Times New Roman" w:cs="Times New Roman"/>
          <w:b/>
          <w:bCs/>
        </w:rPr>
        <w:t>Thermal Diffusivity</w:t>
      </w:r>
      <w:r w:rsidRPr="008049C2">
        <w:rPr>
          <w:rFonts w:ascii="Times New Roman" w:hAnsi="Times New Roman" w:cs="Times New Roman"/>
        </w:rPr>
        <w:t xml:space="preserve"> </w:t>
      </w:r>
      <m:oMath>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m:t>
            </m:r>
          </m:num>
          <m:den>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den>
        </m:f>
      </m:oMath>
      <w:r w:rsidRPr="008049C2">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s</m:t>
        </m:r>
      </m:oMath>
      <w:r w:rsidRPr="008049C2">
        <w:rPr>
          <w:rFonts w:ascii="Times New Roman" w:hAnsi="Times New Roman" w:cs="Times New Roman"/>
        </w:rPr>
        <w:t>). Setting internal heat generation to zero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gen</m:t>
            </m:r>
          </m:sub>
        </m:sSub>
        <m:r>
          <m:rPr>
            <m:sty m:val="p"/>
          </m:rPr>
          <w:rPr>
            <w:rFonts w:ascii="Cambria Math" w:hAnsi="Cambria Math" w:cs="Times New Roman"/>
          </w:rPr>
          <m:t>=</m:t>
        </m:r>
        <m:r>
          <w:rPr>
            <w:rFonts w:ascii="Cambria Math" w:hAnsi="Cambria Math" w:cs="Times New Roman"/>
          </w:rPr>
          <m:t>0</m:t>
        </m:r>
      </m:oMath>
      <w:r w:rsidRPr="008049C2">
        <w:rPr>
          <w:rFonts w:ascii="Times New Roman" w:hAnsi="Times New Roman" w:cs="Times New Roman"/>
        </w:rPr>
        <w:t>) for our baseline testing, we arrive at the standard transient heat equation:</w:t>
      </w:r>
    </w:p>
    <w:p w14:paraId="6B0A2153" w14:textId="77777777" w:rsidR="000433CC" w:rsidRPr="008049C2" w:rsidRDefault="00000000">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u</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α</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u</m:t>
          </m:r>
        </m:oMath>
      </m:oMathPara>
    </w:p>
    <w:p w14:paraId="7EAD5D17"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Expanded in 3D Cartesian coordinates, this becomes:</w:t>
      </w:r>
    </w:p>
    <w:p w14:paraId="5BD949F1" w14:textId="77777777" w:rsidR="000433CC" w:rsidRPr="008049C2" w:rsidRDefault="00000000">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u</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u</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u</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u</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den>
              </m:f>
            </m:e>
          </m:d>
        </m:oMath>
      </m:oMathPara>
    </w:p>
    <w:p w14:paraId="39F695DE" w14:textId="77777777" w:rsidR="000433CC" w:rsidRPr="008049C2" w:rsidRDefault="00000000">
      <w:pPr>
        <w:pStyle w:val="Heading3"/>
        <w:rPr>
          <w:rFonts w:ascii="Times New Roman" w:hAnsi="Times New Roman" w:cs="Times New Roman"/>
          <w:sz w:val="24"/>
          <w:szCs w:val="24"/>
        </w:rPr>
      </w:pPr>
      <w:bookmarkStart w:id="15" w:name="initial-and-boundary-conditions"/>
      <w:bookmarkEnd w:id="14"/>
      <w:r w:rsidRPr="008049C2">
        <w:rPr>
          <w:rFonts w:ascii="Times New Roman" w:hAnsi="Times New Roman" w:cs="Times New Roman"/>
          <w:sz w:val="24"/>
          <w:szCs w:val="24"/>
        </w:rPr>
        <w:t>4.2 Initial and Boundary Conditions</w:t>
      </w:r>
    </w:p>
    <w:p w14:paraId="43E02E07"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To constrain the PDE to a unique, well-posed analytical and numerical solution, we enforce stringent boundary and initial conditions across the domain </w:t>
      </w:r>
      <m:oMath>
        <m:r>
          <m:rPr>
            <m:sty m:val="p"/>
          </m:rPr>
          <w:rPr>
            <w:rFonts w:ascii="Cambria Math" w:hAnsi="Cambria Math" w:cs="Times New Roman"/>
          </w:rPr>
          <m:t>Ω×[</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8049C2">
        <w:rPr>
          <w:rFonts w:ascii="Times New Roman" w:hAnsi="Times New Roman" w:cs="Times New Roman"/>
        </w:rPr>
        <w:t>.</w:t>
      </w:r>
    </w:p>
    <w:p w14:paraId="0A52AE38" w14:textId="77777777" w:rsidR="000433CC" w:rsidRPr="008049C2" w:rsidRDefault="00000000">
      <w:pPr>
        <w:pStyle w:val="Compact"/>
        <w:numPr>
          <w:ilvl w:val="0"/>
          <w:numId w:val="2"/>
        </w:numPr>
        <w:rPr>
          <w:rFonts w:ascii="Times New Roman" w:hAnsi="Times New Roman" w:cs="Times New Roman"/>
        </w:rPr>
      </w:pPr>
      <w:r w:rsidRPr="008049C2">
        <w:rPr>
          <w:rFonts w:ascii="Times New Roman" w:hAnsi="Times New Roman" w:cs="Times New Roman"/>
          <w:b/>
          <w:bCs/>
        </w:rPr>
        <w:t>Initial Condition (IC):</w:t>
      </w:r>
      <w:r w:rsidRPr="008049C2">
        <w:rPr>
          <w:rFonts w:ascii="Times New Roman" w:hAnsi="Times New Roman" w:cs="Times New Roman"/>
        </w:rPr>
        <w:t xml:space="preserve"> We initialize the domain with a smooth, high-frequency sinusoidal profile to induce distinct Fourier modes, challenging the PINN’s spectral bias.</w:t>
      </w:r>
    </w:p>
    <w:p w14:paraId="20F24E7F" w14:textId="77777777" w:rsidR="000433CC" w:rsidRPr="008049C2" w:rsidRDefault="00000000">
      <w:pPr>
        <w:pStyle w:val="Compact"/>
        <w:rPr>
          <w:rFonts w:ascii="Times New Roman" w:hAnsi="Times New Roman" w:cs="Times New Roman"/>
        </w:rPr>
      </w:pPr>
      <m:oMathPara>
        <m:oMathParaPr>
          <m:jc m:val="center"/>
        </m:oMathParaP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)=sin(</m:t>
          </m:r>
          <m:r>
            <w:rPr>
              <w:rFonts w:ascii="Cambria Math" w:hAnsi="Cambria Math" w:cs="Times New Roman"/>
            </w:rPr>
            <m:t>πx</m:t>
          </m:r>
          <m:r>
            <m:rPr>
              <m:sty m:val="p"/>
            </m:rPr>
            <w:rPr>
              <w:rFonts w:ascii="Cambria Math" w:hAnsi="Cambria Math" w:cs="Times New Roman"/>
            </w:rPr>
            <m:t>)sin(</m:t>
          </m:r>
          <m:r>
            <w:rPr>
              <w:rFonts w:ascii="Cambria Math" w:hAnsi="Cambria Math" w:cs="Times New Roman"/>
            </w:rPr>
            <m:t>πy</m:t>
          </m:r>
          <m:r>
            <m:rPr>
              <m:sty m:val="p"/>
            </m:rPr>
            <w:rPr>
              <w:rFonts w:ascii="Cambria Math" w:hAnsi="Cambria Math" w:cs="Times New Roman"/>
            </w:rPr>
            <m:t>)sin(</m:t>
          </m:r>
          <m:r>
            <w:rPr>
              <w:rFonts w:ascii="Cambria Math" w:hAnsi="Cambria Math" w:cs="Times New Roman"/>
            </w:rPr>
            <m:t>πz</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)∈Ω</m:t>
          </m:r>
        </m:oMath>
      </m:oMathPara>
    </w:p>
    <w:p w14:paraId="0ABA21CD" w14:textId="77777777" w:rsidR="000433CC" w:rsidRPr="008049C2" w:rsidRDefault="00000000">
      <w:pPr>
        <w:pStyle w:val="Compact"/>
        <w:numPr>
          <w:ilvl w:val="0"/>
          <w:numId w:val="2"/>
        </w:numPr>
        <w:rPr>
          <w:rFonts w:ascii="Times New Roman" w:hAnsi="Times New Roman" w:cs="Times New Roman"/>
        </w:rPr>
      </w:pPr>
      <w:r w:rsidRPr="008049C2">
        <w:rPr>
          <w:rFonts w:ascii="Times New Roman" w:hAnsi="Times New Roman" w:cs="Times New Roman"/>
          <w:b/>
          <w:bCs/>
        </w:rPr>
        <w:t>Dirichlet Boundary Conditions (BC):</w:t>
      </w:r>
      <w:r w:rsidRPr="008049C2">
        <w:rPr>
          <w:rFonts w:ascii="Times New Roman" w:hAnsi="Times New Roman" w:cs="Times New Roman"/>
        </w:rPr>
        <w:t xml:space="preserve"> The boundaries of the domain </w:t>
      </w:r>
      <m:oMath>
        <m:r>
          <m:rPr>
            <m:sty m:val="p"/>
          </m:rPr>
          <w:rPr>
            <w:rFonts w:ascii="Cambria Math" w:hAnsi="Cambria Math" w:cs="Times New Roman"/>
          </w:rPr>
          <m:t>∂Ω</m:t>
        </m:r>
      </m:oMath>
      <w:r w:rsidRPr="008049C2">
        <w:rPr>
          <w:rFonts w:ascii="Times New Roman" w:hAnsi="Times New Roman" w:cs="Times New Roman"/>
        </w:rPr>
        <w:t xml:space="preserve"> are held at a constant baseline temperature to simulate a heat sink.</w:t>
      </w:r>
    </w:p>
    <w:p w14:paraId="21AF69C6" w14:textId="77777777" w:rsidR="000433CC" w:rsidRPr="008049C2" w:rsidRDefault="00000000">
      <w:pPr>
        <w:pStyle w:val="Compact"/>
        <w:rPr>
          <w:rFonts w:ascii="Times New Roman" w:hAnsi="Times New Roman" w:cs="Times New Roman"/>
        </w:rPr>
      </w:pPr>
      <m:oMathPara>
        <m:oMathParaPr>
          <m:jc m:val="center"/>
        </m:oMathParaPr>
        <m:oMath>
          <m:r>
            <w:rPr>
              <w:rFonts w:ascii="Cambria Math" w:hAnsi="Cambria Math" w:cs="Times New Roman"/>
            </w:rPr>
            <m:t>u</m:t>
          </m:r>
          <m:r>
            <m:rPr>
              <m:sty m:val="p"/>
            </m:rPr>
            <w:rPr>
              <w:rFonts w:ascii="Cambria Math" w:hAnsi="Cambria Math" w:cs="Times New Roman"/>
            </w:rPr>
            <m:t>(∂Ω,</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0 </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m:oMathPara>
    </w:p>
    <w:p w14:paraId="6179A286" w14:textId="77777777" w:rsidR="000433CC" w:rsidRPr="008049C2" w:rsidRDefault="00000000">
      <w:pPr>
        <w:pStyle w:val="Heading3"/>
        <w:rPr>
          <w:rFonts w:ascii="Times New Roman" w:hAnsi="Times New Roman" w:cs="Times New Roman"/>
          <w:sz w:val="24"/>
          <w:szCs w:val="24"/>
        </w:rPr>
      </w:pPr>
      <w:bookmarkStart w:id="16" w:name="material-properties-database"/>
      <w:bookmarkEnd w:id="15"/>
      <w:r w:rsidRPr="008049C2">
        <w:rPr>
          <w:rFonts w:ascii="Times New Roman" w:hAnsi="Times New Roman" w:cs="Times New Roman"/>
          <w:sz w:val="24"/>
          <w:szCs w:val="24"/>
        </w:rPr>
        <w:t>4.3 Material Properties Database</w:t>
      </w:r>
    </w:p>
    <w:p w14:paraId="125CE778"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Thermal diffusivity (</w:t>
      </w:r>
      <m:oMath>
        <m:r>
          <w:rPr>
            <w:rFonts w:ascii="Cambria Math" w:hAnsi="Cambria Math" w:cs="Times New Roman"/>
          </w:rPr>
          <m:t>α</m:t>
        </m:r>
      </m:oMath>
      <w:r w:rsidRPr="008049C2">
        <w:rPr>
          <w:rFonts w:ascii="Times New Roman" w:hAnsi="Times New Roman" w:cs="Times New Roman"/>
        </w:rPr>
        <w:t xml:space="preserve">) is the critical parameter dictating the steepness of the temperature gradients and the speed of thermal propagation. A small </w:t>
      </w:r>
      <m:oMath>
        <m:r>
          <w:rPr>
            <w:rFonts w:ascii="Cambria Math" w:hAnsi="Cambria Math" w:cs="Times New Roman"/>
          </w:rPr>
          <m:t>α</m:t>
        </m:r>
      </m:oMath>
      <w:r w:rsidRPr="008049C2">
        <w:rPr>
          <w:rFonts w:ascii="Times New Roman" w:hAnsi="Times New Roman" w:cs="Times New Roman"/>
        </w:rPr>
        <w:t xml:space="preserve"> leads to slow diffusion and sharp, </w:t>
      </w:r>
      <w:r w:rsidRPr="008049C2">
        <w:rPr>
          <w:rFonts w:ascii="Times New Roman" w:hAnsi="Times New Roman" w:cs="Times New Roman"/>
        </w:rPr>
        <w:lastRenderedPageBreak/>
        <w:t>long-lasting boundaries. We constructed a comprehensive database of 14 materials to rigorously test the models. Below is a subset of the critical aerospace materials evaluated:</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0433CC" w:rsidRPr="008049C2" w14:paraId="1361C408" w14:textId="77777777" w:rsidTr="000433CC">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289294"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Material</w:t>
            </w:r>
          </w:p>
        </w:tc>
        <w:tc>
          <w:tcPr>
            <w:tcW w:w="1584" w:type="dxa"/>
          </w:tcPr>
          <w:p w14:paraId="5C8C0324"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 xml:space="preserve">Density </w:t>
            </w:r>
            <m:oMath>
              <m:r>
                <w:rPr>
                  <w:rFonts w:ascii="Cambria Math" w:hAnsi="Cambria Math" w:cs="Times New Roman"/>
                </w:rPr>
                <m:t>ρ</m:t>
              </m:r>
            </m:oMath>
            <w:r w:rsidRPr="008049C2">
              <w:rPr>
                <w:rFonts w:ascii="Times New Roman" w:hAnsi="Times New Roman" w:cs="Times New Roman"/>
              </w:rPr>
              <w:t xml:space="preserve"> (</w:t>
            </w:r>
            <m:oMath>
              <m:r>
                <w:rPr>
                  <w:rFonts w:ascii="Cambria Math" w:hAnsi="Cambria Math" w:cs="Times New Roman"/>
                </w:rPr>
                <m:t>kg</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oMath>
            <w:r w:rsidRPr="008049C2">
              <w:rPr>
                <w:rFonts w:ascii="Times New Roman" w:hAnsi="Times New Roman" w:cs="Times New Roman"/>
              </w:rPr>
              <w:t>)</w:t>
            </w:r>
          </w:p>
        </w:tc>
        <w:tc>
          <w:tcPr>
            <w:tcW w:w="1584" w:type="dxa"/>
          </w:tcPr>
          <w:p w14:paraId="026171F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 xml:space="preserve">Specific Heat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oMath>
            <w:r w:rsidRPr="008049C2">
              <w:rPr>
                <w:rFonts w:ascii="Times New Roman" w:hAnsi="Times New Roman" w:cs="Times New Roman"/>
              </w:rPr>
              <w:t xml:space="preserve">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kg</m:t>
              </m:r>
              <m:r>
                <m:rPr>
                  <m:sty m:val="p"/>
                </m:rPr>
                <w:rPr>
                  <w:rFonts w:ascii="Cambria Math" w:hAnsi="Cambria Math" w:cs="Times New Roman"/>
                </w:rPr>
                <m:t>⋅</m:t>
              </m:r>
              <m:r>
                <w:rPr>
                  <w:rFonts w:ascii="Cambria Math" w:hAnsi="Cambria Math" w:cs="Times New Roman"/>
                </w:rPr>
                <m:t>K</m:t>
              </m:r>
            </m:oMath>
            <w:r w:rsidRPr="008049C2">
              <w:rPr>
                <w:rFonts w:ascii="Times New Roman" w:hAnsi="Times New Roman" w:cs="Times New Roman"/>
              </w:rPr>
              <w:t>)</w:t>
            </w:r>
          </w:p>
        </w:tc>
        <w:tc>
          <w:tcPr>
            <w:tcW w:w="1584" w:type="dxa"/>
          </w:tcPr>
          <w:p w14:paraId="6F5CF9AC"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 xml:space="preserve">Conductivity </w:t>
            </w:r>
            <m:oMath>
              <m:r>
                <w:rPr>
                  <w:rFonts w:ascii="Cambria Math" w:hAnsi="Cambria Math" w:cs="Times New Roman"/>
                </w:rPr>
                <m:t>k</m:t>
              </m:r>
            </m:oMath>
            <w:r w:rsidRPr="008049C2">
              <w:rPr>
                <w:rFonts w:ascii="Times New Roman" w:hAnsi="Times New Roman" w:cs="Times New Roman"/>
              </w:rPr>
              <w:t xml:space="preserve"> (</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K</m:t>
              </m:r>
            </m:oMath>
            <w:r w:rsidRPr="008049C2">
              <w:rPr>
                <w:rFonts w:ascii="Times New Roman" w:hAnsi="Times New Roman" w:cs="Times New Roman"/>
              </w:rPr>
              <w:t>)</w:t>
            </w:r>
          </w:p>
        </w:tc>
        <w:tc>
          <w:tcPr>
            <w:tcW w:w="1584" w:type="dxa"/>
          </w:tcPr>
          <w:p w14:paraId="5CE3347F"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 xml:space="preserve">Diffusivity </w:t>
            </w:r>
            <m:oMath>
              <m:r>
                <w:rPr>
                  <w:rFonts w:ascii="Cambria Math" w:hAnsi="Cambria Math" w:cs="Times New Roman"/>
                </w:rPr>
                <m:t>α</m:t>
              </m:r>
            </m:oMath>
            <w:r w:rsidRPr="008049C2">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s</m:t>
              </m:r>
            </m:oMath>
            <w:r w:rsidRPr="008049C2">
              <w:rPr>
                <w:rFonts w:ascii="Times New Roman" w:hAnsi="Times New Roman" w:cs="Times New Roman"/>
              </w:rPr>
              <w:t>)</w:t>
            </w:r>
          </w:p>
        </w:tc>
      </w:tr>
      <w:tr w:rsidR="000433CC" w:rsidRPr="008049C2" w14:paraId="1400F9A6" w14:textId="77777777">
        <w:tc>
          <w:tcPr>
            <w:tcW w:w="1584" w:type="dxa"/>
          </w:tcPr>
          <w:p w14:paraId="28AA1CD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Stainless Steel 304</w:t>
            </w:r>
          </w:p>
        </w:tc>
        <w:tc>
          <w:tcPr>
            <w:tcW w:w="1584" w:type="dxa"/>
          </w:tcPr>
          <w:p w14:paraId="2121CF0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8,000</w:t>
            </w:r>
          </w:p>
        </w:tc>
        <w:tc>
          <w:tcPr>
            <w:tcW w:w="1584" w:type="dxa"/>
          </w:tcPr>
          <w:p w14:paraId="290F4436"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500</w:t>
            </w:r>
          </w:p>
        </w:tc>
        <w:tc>
          <w:tcPr>
            <w:tcW w:w="1584" w:type="dxa"/>
          </w:tcPr>
          <w:p w14:paraId="49B8A635"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16.2</w:t>
            </w:r>
          </w:p>
        </w:tc>
        <w:tc>
          <w:tcPr>
            <w:tcW w:w="1584" w:type="dxa"/>
          </w:tcPr>
          <w:p w14:paraId="4BCD09E2" w14:textId="77777777" w:rsidR="000433CC" w:rsidRPr="008049C2" w:rsidRDefault="00000000">
            <w:pPr>
              <w:pStyle w:val="Compact"/>
              <w:rPr>
                <w:rFonts w:ascii="Times New Roman" w:hAnsi="Times New Roman" w:cs="Times New Roman"/>
              </w:rPr>
            </w:pPr>
            <m:oMath>
              <m:r>
                <w:rPr>
                  <w:rFonts w:ascii="Cambria Math" w:hAnsi="Cambria Math" w:cs="Times New Roman"/>
                </w:rPr>
                <m:t>4.05</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oMath>
            <w:r w:rsidRPr="008049C2">
              <w:rPr>
                <w:rFonts w:ascii="Times New Roman" w:hAnsi="Times New Roman" w:cs="Times New Roman"/>
              </w:rPr>
              <w:t>​</w:t>
            </w:r>
          </w:p>
        </w:tc>
      </w:tr>
      <w:tr w:rsidR="000433CC" w:rsidRPr="008049C2" w14:paraId="3B1384FC" w14:textId="77777777">
        <w:tc>
          <w:tcPr>
            <w:tcW w:w="1584" w:type="dxa"/>
          </w:tcPr>
          <w:p w14:paraId="047600E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Titanium (Ti-6Al-4V)</w:t>
            </w:r>
          </w:p>
        </w:tc>
        <w:tc>
          <w:tcPr>
            <w:tcW w:w="1584" w:type="dxa"/>
          </w:tcPr>
          <w:p w14:paraId="3E0DDFE8"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4,430</w:t>
            </w:r>
          </w:p>
        </w:tc>
        <w:tc>
          <w:tcPr>
            <w:tcW w:w="1584" w:type="dxa"/>
          </w:tcPr>
          <w:p w14:paraId="3553AB63"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526</w:t>
            </w:r>
          </w:p>
        </w:tc>
        <w:tc>
          <w:tcPr>
            <w:tcW w:w="1584" w:type="dxa"/>
          </w:tcPr>
          <w:p w14:paraId="65E2C237"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6.7</w:t>
            </w:r>
          </w:p>
        </w:tc>
        <w:tc>
          <w:tcPr>
            <w:tcW w:w="1584" w:type="dxa"/>
          </w:tcPr>
          <w:p w14:paraId="47419C3C" w14:textId="77777777" w:rsidR="000433CC" w:rsidRPr="008049C2" w:rsidRDefault="00000000">
            <w:pPr>
              <w:pStyle w:val="Compact"/>
              <w:rPr>
                <w:rFonts w:ascii="Times New Roman" w:hAnsi="Times New Roman" w:cs="Times New Roman"/>
              </w:rPr>
            </w:pPr>
            <m:oMath>
              <m:r>
                <w:rPr>
                  <w:rFonts w:ascii="Cambria Math" w:hAnsi="Cambria Math" w:cs="Times New Roman"/>
                </w:rPr>
                <m:t>2.87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oMath>
            <w:r w:rsidRPr="008049C2">
              <w:rPr>
                <w:rFonts w:ascii="Times New Roman" w:hAnsi="Times New Roman" w:cs="Times New Roman"/>
              </w:rPr>
              <w:t>​</w:t>
            </w:r>
          </w:p>
        </w:tc>
      </w:tr>
      <w:tr w:rsidR="000433CC" w:rsidRPr="008049C2" w14:paraId="3E202626" w14:textId="77777777">
        <w:tc>
          <w:tcPr>
            <w:tcW w:w="1584" w:type="dxa"/>
          </w:tcPr>
          <w:p w14:paraId="76E1938E"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Aluminium 6061</w:t>
            </w:r>
          </w:p>
        </w:tc>
        <w:tc>
          <w:tcPr>
            <w:tcW w:w="1584" w:type="dxa"/>
          </w:tcPr>
          <w:p w14:paraId="46E6B0E3"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2,700</w:t>
            </w:r>
          </w:p>
        </w:tc>
        <w:tc>
          <w:tcPr>
            <w:tcW w:w="1584" w:type="dxa"/>
          </w:tcPr>
          <w:p w14:paraId="1B1CC983"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896</w:t>
            </w:r>
          </w:p>
        </w:tc>
        <w:tc>
          <w:tcPr>
            <w:tcW w:w="1584" w:type="dxa"/>
          </w:tcPr>
          <w:p w14:paraId="3A6B6049"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167</w:t>
            </w:r>
          </w:p>
        </w:tc>
        <w:tc>
          <w:tcPr>
            <w:tcW w:w="1584" w:type="dxa"/>
          </w:tcPr>
          <w:p w14:paraId="4459A51D" w14:textId="77777777" w:rsidR="000433CC" w:rsidRPr="008049C2" w:rsidRDefault="00000000">
            <w:pPr>
              <w:pStyle w:val="Compact"/>
              <w:rPr>
                <w:rFonts w:ascii="Times New Roman" w:hAnsi="Times New Roman" w:cs="Times New Roman"/>
              </w:rPr>
            </w:pPr>
            <m:oMath>
              <m:r>
                <w:rPr>
                  <w:rFonts w:ascii="Cambria Math" w:hAnsi="Cambria Math" w:cs="Times New Roman"/>
                </w:rPr>
                <m:t>6.90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5</m:t>
                  </m:r>
                </m:sup>
              </m:sSup>
            </m:oMath>
            <w:r w:rsidRPr="008049C2">
              <w:rPr>
                <w:rFonts w:ascii="Times New Roman" w:hAnsi="Times New Roman" w:cs="Times New Roman"/>
              </w:rPr>
              <w:t>​</w:t>
            </w:r>
          </w:p>
        </w:tc>
      </w:tr>
      <w:tr w:rsidR="000433CC" w:rsidRPr="008049C2" w14:paraId="0B2CE2BF" w14:textId="77777777">
        <w:tc>
          <w:tcPr>
            <w:tcW w:w="1584" w:type="dxa"/>
          </w:tcPr>
          <w:p w14:paraId="726446C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Tungsten</w:t>
            </w:r>
          </w:p>
        </w:tc>
        <w:tc>
          <w:tcPr>
            <w:tcW w:w="1584" w:type="dxa"/>
          </w:tcPr>
          <w:p w14:paraId="0BFB8135"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19,250</w:t>
            </w:r>
          </w:p>
        </w:tc>
        <w:tc>
          <w:tcPr>
            <w:tcW w:w="1584" w:type="dxa"/>
          </w:tcPr>
          <w:p w14:paraId="4A988421"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134</w:t>
            </w:r>
          </w:p>
        </w:tc>
        <w:tc>
          <w:tcPr>
            <w:tcW w:w="1584" w:type="dxa"/>
          </w:tcPr>
          <w:p w14:paraId="5811B077"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173</w:t>
            </w:r>
          </w:p>
        </w:tc>
        <w:tc>
          <w:tcPr>
            <w:tcW w:w="1584" w:type="dxa"/>
          </w:tcPr>
          <w:p w14:paraId="39ABB433" w14:textId="77777777" w:rsidR="000433CC" w:rsidRPr="008049C2" w:rsidRDefault="00000000">
            <w:pPr>
              <w:pStyle w:val="Compact"/>
              <w:rPr>
                <w:rFonts w:ascii="Times New Roman" w:hAnsi="Times New Roman" w:cs="Times New Roman"/>
              </w:rPr>
            </w:pPr>
            <m:oMath>
              <m:r>
                <w:rPr>
                  <w:rFonts w:ascii="Cambria Math" w:hAnsi="Cambria Math" w:cs="Times New Roman"/>
                </w:rPr>
                <m:t>6.71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5</m:t>
                  </m:r>
                </m:sup>
              </m:sSup>
            </m:oMath>
            <w:r w:rsidRPr="008049C2">
              <w:rPr>
                <w:rFonts w:ascii="Times New Roman" w:hAnsi="Times New Roman" w:cs="Times New Roman"/>
              </w:rPr>
              <w:t>​</w:t>
            </w:r>
          </w:p>
        </w:tc>
      </w:tr>
      <w:tr w:rsidR="000433CC" w:rsidRPr="008049C2" w14:paraId="255F4433" w14:textId="77777777">
        <w:tc>
          <w:tcPr>
            <w:tcW w:w="1584" w:type="dxa"/>
          </w:tcPr>
          <w:p w14:paraId="5403612C"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LI-900 Silica Tile</w:t>
            </w:r>
          </w:p>
        </w:tc>
        <w:tc>
          <w:tcPr>
            <w:tcW w:w="1584" w:type="dxa"/>
          </w:tcPr>
          <w:p w14:paraId="20B3C02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144</w:t>
            </w:r>
          </w:p>
        </w:tc>
        <w:tc>
          <w:tcPr>
            <w:tcW w:w="1584" w:type="dxa"/>
          </w:tcPr>
          <w:p w14:paraId="2ADEA874"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628</w:t>
            </w:r>
          </w:p>
        </w:tc>
        <w:tc>
          <w:tcPr>
            <w:tcW w:w="1584" w:type="dxa"/>
          </w:tcPr>
          <w:p w14:paraId="3AF12449"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0.04</w:t>
            </w:r>
          </w:p>
        </w:tc>
        <w:tc>
          <w:tcPr>
            <w:tcW w:w="1584" w:type="dxa"/>
          </w:tcPr>
          <w:p w14:paraId="5009DC8F" w14:textId="77777777" w:rsidR="000433CC" w:rsidRPr="008049C2" w:rsidRDefault="00000000">
            <w:pPr>
              <w:pStyle w:val="Compact"/>
              <w:rPr>
                <w:rFonts w:ascii="Times New Roman" w:hAnsi="Times New Roman" w:cs="Times New Roman"/>
              </w:rPr>
            </w:pPr>
            <m:oMath>
              <m:r>
                <w:rPr>
                  <w:rFonts w:ascii="Cambria Math" w:hAnsi="Cambria Math" w:cs="Times New Roman"/>
                </w:rPr>
                <m:t>4.42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7</m:t>
                  </m:r>
                </m:sup>
              </m:sSup>
            </m:oMath>
            <w:r w:rsidRPr="008049C2">
              <w:rPr>
                <w:rFonts w:ascii="Times New Roman" w:hAnsi="Times New Roman" w:cs="Times New Roman"/>
              </w:rPr>
              <w:t>​</w:t>
            </w:r>
          </w:p>
        </w:tc>
      </w:tr>
    </w:tbl>
    <w:p w14:paraId="52C821BB"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i/>
          <w:iCs/>
        </w:rPr>
        <w:t>Stainless Steel 304</w:t>
      </w:r>
      <w:r w:rsidRPr="008049C2">
        <w:rPr>
          <w:rFonts w:ascii="Times New Roman" w:hAnsi="Times New Roman" w:cs="Times New Roman"/>
        </w:rPr>
        <w:t xml:space="preserve"> serves as our primary benchmark because its extremely low diffusivity forces the preservation of sharp spatial gradients over time, maximally exposing classical spectral bias.</w:t>
      </w:r>
    </w:p>
    <w:p w14:paraId="62C2EE87"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78DA4725">
          <v:rect id="_x0000_i2304" style="width:0;height:1.5pt" o:hralign="center" o:hrstd="t" o:hr="t"/>
        </w:pict>
      </w:r>
    </w:p>
    <w:p w14:paraId="6B45AAF3" w14:textId="77777777" w:rsidR="000433CC" w:rsidRPr="008049C2" w:rsidRDefault="00000000">
      <w:pPr>
        <w:pStyle w:val="Heading2"/>
        <w:rPr>
          <w:rFonts w:ascii="Times New Roman" w:hAnsi="Times New Roman" w:cs="Times New Roman"/>
          <w:sz w:val="24"/>
          <w:szCs w:val="24"/>
        </w:rPr>
      </w:pPr>
      <w:bookmarkStart w:id="17" w:name="classical-numerical-methods-cfd-baseline"/>
      <w:bookmarkEnd w:id="13"/>
      <w:bookmarkEnd w:id="16"/>
      <w:r w:rsidRPr="008049C2">
        <w:rPr>
          <w:rFonts w:ascii="Times New Roman" w:hAnsi="Times New Roman" w:cs="Times New Roman"/>
          <w:sz w:val="24"/>
          <w:szCs w:val="24"/>
        </w:rPr>
        <w:t>5. Classical Numerical Methods (CFD Baseline)</w:t>
      </w:r>
    </w:p>
    <w:p w14:paraId="6ABC1A6B"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To evaluate the predictive accuracy of the PINN and QA-PINN architectures, we generated highly precise, mathematically rigorous ground-truth datasets using classical Finite Difference Methods (FDM).</w:t>
      </w:r>
    </w:p>
    <w:p w14:paraId="4D4E7BAC" w14:textId="77777777" w:rsidR="000433CC" w:rsidRPr="008049C2" w:rsidRDefault="00000000">
      <w:pPr>
        <w:pStyle w:val="Heading3"/>
        <w:rPr>
          <w:rFonts w:ascii="Times New Roman" w:hAnsi="Times New Roman" w:cs="Times New Roman"/>
          <w:sz w:val="24"/>
          <w:szCs w:val="24"/>
        </w:rPr>
      </w:pPr>
      <w:bookmarkStart w:id="18" w:name="d-crank-nicolson-scheme"/>
      <w:r w:rsidRPr="008049C2">
        <w:rPr>
          <w:rFonts w:ascii="Times New Roman" w:hAnsi="Times New Roman" w:cs="Times New Roman"/>
          <w:sz w:val="24"/>
          <w:szCs w:val="24"/>
        </w:rPr>
        <w:t>5.1 1D Crank-Nicolson Scheme</w:t>
      </w:r>
    </w:p>
    <w:p w14:paraId="56EB588A"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For the 1D domain, we utilized the implicit Crank-Nicolson method. By averaging the forward Euler and backward Euler discretizations, this method achieves second-order accuracy </w:t>
      </w:r>
      <m:oMath>
        <m:r>
          <m:rPr>
            <m:scr m:val="script"/>
            <m:sty m:val="p"/>
          </m:rPr>
          <w:rPr>
            <w:rFonts w:ascii="Cambria Math" w:hAnsi="Cambria Math" w:cs="Times New Roman"/>
          </w:rPr>
          <m:t>O</m:t>
        </m:r>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oMath>
      <w:r w:rsidRPr="008049C2">
        <w:rPr>
          <w:rFonts w:ascii="Times New Roman" w:hAnsi="Times New Roman" w:cs="Times New Roman"/>
        </w:rPr>
        <w:t>. The discretization is formulated as:</w:t>
      </w:r>
    </w:p>
    <w:p w14:paraId="1DB084EB" w14:textId="77777777" w:rsidR="000433CC" w:rsidRPr="008049C2" w:rsidRDefault="00000000">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w:rPr>
                      <w:rFonts w:ascii="Cambria Math" w:hAnsi="Cambria Math" w:cs="Times New Roman"/>
                    </w:rPr>
                    <m:t>n</m:t>
                  </m:r>
                </m:sup>
              </m:sSubSup>
            </m:num>
            <m:den>
              <m:r>
                <m:rPr>
                  <m:sty m:val="p"/>
                </m:rPr>
                <w:rPr>
                  <w:rFonts w:ascii="Cambria Math" w:hAnsi="Cambria Math" w:cs="Times New Roman"/>
                </w:rPr>
                <m:t>Δ</m:t>
              </m:r>
              <m:r>
                <w:rPr>
                  <w:rFonts w:ascii="Cambria Math" w:hAnsi="Cambria Math" w:cs="Times New Roman"/>
                </w:rPr>
                <m:t>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den>
          </m:f>
          <m:d>
            <m:dPr>
              <m:begChr m:val="["/>
              <m:endChr m:val="]"/>
              <m:ctrlPr>
                <w:rPr>
                  <w:rFonts w:ascii="Cambria Math" w:hAnsi="Cambria Math" w:cs="Times New Roman"/>
                </w:rPr>
              </m:ctrlPr>
            </m:d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e>
              </m:d>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sSubSup>
                  <m:r>
                    <m:rPr>
                      <m:sty m:val="p"/>
                    </m:rPr>
                    <w:rPr>
                      <w:rFonts w:ascii="Cambria Math" w:hAnsi="Cambria Math" w:cs="Times New Roman"/>
                    </w:rPr>
                    <m:t>-</m:t>
                  </m:r>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w:rPr>
                          <w:rFonts w:ascii="Cambria Math" w:hAnsi="Cambria Math" w:cs="Times New Roman"/>
                        </w:rPr>
                        <m:t>n</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sSubSup>
                </m:e>
              </m:d>
            </m:e>
          </m:d>
        </m:oMath>
      </m:oMathPara>
    </w:p>
    <w:p w14:paraId="17E7FC99"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This forms a tridiagonal system of linear equations at each time step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oMath>
      <w:r w:rsidRPr="008049C2">
        <w:rPr>
          <w:rFonts w:ascii="Times New Roman" w:hAnsi="Times New Roman" w:cs="Times New Roman"/>
        </w:rPr>
        <w:t>, which is unconditionally stable and strictly avoids the CFL time-step limitations.</w:t>
      </w:r>
    </w:p>
    <w:p w14:paraId="39D2292A" w14:textId="77777777" w:rsidR="000433CC" w:rsidRPr="008049C2" w:rsidRDefault="00000000">
      <w:pPr>
        <w:pStyle w:val="Heading3"/>
        <w:rPr>
          <w:rFonts w:ascii="Times New Roman" w:hAnsi="Times New Roman" w:cs="Times New Roman"/>
          <w:sz w:val="24"/>
          <w:szCs w:val="24"/>
        </w:rPr>
      </w:pPr>
      <w:bookmarkStart w:id="19" w:name="Xff6d4904e96cc1821bfe7bcf443660d81ca0c8f"/>
      <w:bookmarkEnd w:id="18"/>
      <w:r w:rsidRPr="008049C2">
        <w:rPr>
          <w:rFonts w:ascii="Times New Roman" w:hAnsi="Times New Roman" w:cs="Times New Roman"/>
          <w:sz w:val="24"/>
          <w:szCs w:val="24"/>
        </w:rPr>
        <w:t>5.2 2D Alternating Direction Implicit (ADI) Method</w:t>
      </w:r>
    </w:p>
    <w:p w14:paraId="4E81F0D8"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Extending Crank-Nicolson to 2D directly would result in a massive, banded, block-tridiagonal matrix that is computationally expensive to invert. Instead, we implemented the Peaceman-Rachford ADI method. ADI splits the time step </w:t>
      </w:r>
      <m:oMath>
        <m:r>
          <m:rPr>
            <m:sty m:val="p"/>
          </m:rPr>
          <w:rPr>
            <w:rFonts w:ascii="Cambria Math" w:hAnsi="Cambria Math" w:cs="Times New Roman"/>
          </w:rPr>
          <m:t>Δ</m:t>
        </m:r>
        <m:r>
          <w:rPr>
            <w:rFonts w:ascii="Cambria Math" w:hAnsi="Cambria Math" w:cs="Times New Roman"/>
          </w:rPr>
          <m:t>t</m:t>
        </m:r>
      </m:oMath>
      <w:r w:rsidRPr="008049C2">
        <w:rPr>
          <w:rFonts w:ascii="Times New Roman" w:hAnsi="Times New Roman" w:cs="Times New Roman"/>
        </w:rPr>
        <w:t xml:space="preserve"> into two half-steps.</w:t>
      </w:r>
    </w:p>
    <w:p w14:paraId="6A017E56"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Step 1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oMath>
      <w:r w:rsidRPr="008049C2">
        <w:rPr>
          <w:rFonts w:ascii="Times New Roman" w:hAnsi="Times New Roman" w:cs="Times New Roman"/>
          <w:b/>
          <w:bCs/>
        </w:rPr>
        <w:t>):</w:t>
      </w:r>
      <w:r w:rsidRPr="008049C2">
        <w:rPr>
          <w:rFonts w:ascii="Times New Roman" w:hAnsi="Times New Roman" w:cs="Times New Roman"/>
        </w:rPr>
        <w:t xml:space="preserve"> Implicit in </w:t>
      </w:r>
      <m:oMath>
        <m:r>
          <w:rPr>
            <w:rFonts w:ascii="Cambria Math" w:hAnsi="Cambria Math" w:cs="Times New Roman"/>
          </w:rPr>
          <m:t>x</m:t>
        </m:r>
      </m:oMath>
      <w:r w:rsidRPr="008049C2">
        <w:rPr>
          <w:rFonts w:ascii="Times New Roman" w:hAnsi="Times New Roman" w:cs="Times New Roman"/>
        </w:rPr>
        <w:t xml:space="preserve">, Explicit in </w:t>
      </w:r>
      <m:oMath>
        <m:r>
          <w:rPr>
            <w:rFonts w:ascii="Cambria Math" w:hAnsi="Cambria Math" w:cs="Times New Roman"/>
          </w:rPr>
          <m:t>y</m:t>
        </m:r>
      </m:oMath>
      <w:r w:rsidRPr="008049C2">
        <w:rPr>
          <w:rFonts w:ascii="Times New Roman" w:hAnsi="Times New Roman" w:cs="Times New Roman"/>
        </w:rPr>
        <w:t>.</w:t>
      </w:r>
    </w:p>
    <w:p w14:paraId="56588A59" w14:textId="77777777" w:rsidR="000433CC" w:rsidRPr="008049C2" w:rsidRDefault="00000000">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sup>
              </m:sSubSup>
            </m:num>
            <m:den>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x</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y</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sup>
              </m:sSubSup>
            </m:e>
          </m:d>
        </m:oMath>
      </m:oMathPara>
    </w:p>
    <w:p w14:paraId="1DC061C2"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b/>
          <w:bCs/>
        </w:rPr>
        <w:lastRenderedPageBreak/>
        <w:t>Step 2 (</w:t>
      </w:r>
      <m:oMath>
        <m:r>
          <w:rPr>
            <w:rFonts w:ascii="Cambria Math" w:hAnsi="Cambria Math" w:cs="Times New Roman"/>
          </w:rPr>
          <m:t>t</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+Δ</m:t>
        </m:r>
        <m:r>
          <w:rPr>
            <w:rFonts w:ascii="Cambria Math" w:hAnsi="Cambria Math" w:cs="Times New Roman"/>
          </w:rPr>
          <m:t>t</m:t>
        </m:r>
      </m:oMath>
      <w:r w:rsidRPr="008049C2">
        <w:rPr>
          <w:rFonts w:ascii="Times New Roman" w:hAnsi="Times New Roman" w:cs="Times New Roman"/>
          <w:b/>
          <w:bCs/>
        </w:rPr>
        <w:t>):</w:t>
      </w:r>
      <w:r w:rsidRPr="008049C2">
        <w:rPr>
          <w:rFonts w:ascii="Times New Roman" w:hAnsi="Times New Roman" w:cs="Times New Roman"/>
        </w:rPr>
        <w:t xml:space="preserve"> Explicit in </w:t>
      </w:r>
      <m:oMath>
        <m:r>
          <w:rPr>
            <w:rFonts w:ascii="Cambria Math" w:hAnsi="Cambria Math" w:cs="Times New Roman"/>
          </w:rPr>
          <m:t>x</m:t>
        </m:r>
      </m:oMath>
      <w:r w:rsidRPr="008049C2">
        <w:rPr>
          <w:rFonts w:ascii="Times New Roman" w:hAnsi="Times New Roman" w:cs="Times New Roman"/>
        </w:rPr>
        <w:t xml:space="preserve">, Implicit in </w:t>
      </w:r>
      <m:oMath>
        <m:r>
          <w:rPr>
            <w:rFonts w:ascii="Cambria Math" w:hAnsi="Cambria Math" w:cs="Times New Roman"/>
          </w:rPr>
          <m:t>y</m:t>
        </m:r>
      </m:oMath>
      <w:r w:rsidRPr="008049C2">
        <w:rPr>
          <w:rFonts w:ascii="Times New Roman" w:hAnsi="Times New Roman" w:cs="Times New Roman"/>
        </w:rPr>
        <w:t>.</w:t>
      </w:r>
    </w:p>
    <w:p w14:paraId="787318C1" w14:textId="77777777" w:rsidR="000433CC" w:rsidRPr="008049C2" w:rsidRDefault="00000000">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sup>
              </m:sSubSup>
            </m:num>
            <m:den>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x</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y</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e>
          </m:d>
        </m:oMath>
      </m:oMathPara>
    </w:p>
    <w:p w14:paraId="728996AD"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This decouples the 2D problem into a series of independent 1D tridiagonal solves, maintaining unconditional stability while radically improving computational throughput.</w:t>
      </w:r>
    </w:p>
    <w:p w14:paraId="236660B6" w14:textId="77777777" w:rsidR="000433CC" w:rsidRPr="008049C2" w:rsidRDefault="00000000">
      <w:pPr>
        <w:pStyle w:val="Heading3"/>
        <w:rPr>
          <w:rFonts w:ascii="Times New Roman" w:hAnsi="Times New Roman" w:cs="Times New Roman"/>
          <w:sz w:val="24"/>
          <w:szCs w:val="24"/>
        </w:rPr>
      </w:pPr>
      <w:bookmarkStart w:id="20" w:name="d-explicit-method-ftcs"/>
      <w:bookmarkEnd w:id="19"/>
      <w:r w:rsidRPr="008049C2">
        <w:rPr>
          <w:rFonts w:ascii="Times New Roman" w:hAnsi="Times New Roman" w:cs="Times New Roman"/>
          <w:sz w:val="24"/>
          <w:szCs w:val="24"/>
        </w:rPr>
        <w:t>5.3 3D Explicit Method (FTCS)</w:t>
      </w:r>
    </w:p>
    <w:p w14:paraId="2998F551"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For the 3D domain, the architectural complexity of ADI becomes unwieldy. Instead, we utilized a highly refined Forward-Time Central-Space (FTCS) explicit scheme. The discretization is straightforward:</w:t>
      </w:r>
    </w:p>
    <w:p w14:paraId="6C07FE0A" w14:textId="77777777" w:rsidR="000433CC" w:rsidRPr="008049C2"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n</m:t>
              </m:r>
            </m:sup>
          </m:sSub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Δ</m:t>
          </m:r>
          <m:r>
            <w:rPr>
              <w:rFonts w:ascii="Cambria Math" w:hAnsi="Cambria Math" w:cs="Times New Roman"/>
            </w:rPr>
            <m:t>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x</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n</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y</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n</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z</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n</m:t>
                  </m:r>
                </m:sup>
              </m:sSubSup>
            </m:e>
          </m:d>
        </m:oMath>
      </m:oMathPara>
    </w:p>
    <w:p w14:paraId="09A9A8C4"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To prevent catastrophic numerical divergence, we strictly adhered to the 3D Von Neumann stability criterion:</w:t>
      </w:r>
    </w:p>
    <w:p w14:paraId="4CBC26AB" w14:textId="77777777" w:rsidR="000433CC" w:rsidRPr="008049C2" w:rsidRDefault="00000000">
      <w:pPr>
        <w:pStyle w:val="BodyText"/>
        <w:rPr>
          <w:rFonts w:ascii="Times New Roman" w:hAnsi="Times New Roman" w:cs="Times New Roman"/>
        </w:rPr>
      </w:pPr>
      <m:oMathPara>
        <m:oMathParaPr>
          <m:jc m:val="center"/>
        </m:oMathParaPr>
        <m:oMath>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2α</m:t>
              </m:r>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den>
                  </m:f>
                </m:e>
              </m:d>
            </m:e>
            <m:sup>
              <m:r>
                <m:rPr>
                  <m:sty m:val="p"/>
                </m:rPr>
                <w:rPr>
                  <w:rFonts w:ascii="Cambria Math" w:hAnsi="Cambria Math" w:cs="Times New Roman"/>
                </w:rPr>
                <m:t>-</m:t>
              </m:r>
              <m:r>
                <w:rPr>
                  <w:rFonts w:ascii="Cambria Math" w:hAnsi="Cambria Math" w:cs="Times New Roman"/>
                </w:rPr>
                <m:t>1</m:t>
              </m:r>
            </m:sup>
          </m:sSup>
        </m:oMath>
      </m:oMathPara>
    </w:p>
    <w:p w14:paraId="69244230"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Operating at micro-second time steps, this explicit solver generated an impeccably accurate 3D validation manifold.</w:t>
      </w:r>
    </w:p>
    <w:p w14:paraId="2F0C2400"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68E84F73">
          <v:rect id="_x0000_i2305" style="width:0;height:1.5pt" o:hralign="center" o:hrstd="t" o:hr="t"/>
        </w:pict>
      </w:r>
    </w:p>
    <w:p w14:paraId="15E8B3CB" w14:textId="77777777" w:rsidR="000433CC" w:rsidRPr="008049C2" w:rsidRDefault="00000000">
      <w:pPr>
        <w:pStyle w:val="Heading2"/>
        <w:rPr>
          <w:rFonts w:ascii="Times New Roman" w:hAnsi="Times New Roman" w:cs="Times New Roman"/>
          <w:sz w:val="24"/>
          <w:szCs w:val="24"/>
        </w:rPr>
      </w:pPr>
      <w:bookmarkStart w:id="21" w:name="neural-network-architectures-1"/>
      <w:bookmarkEnd w:id="17"/>
      <w:bookmarkEnd w:id="20"/>
      <w:r w:rsidRPr="008049C2">
        <w:rPr>
          <w:rFonts w:ascii="Times New Roman" w:hAnsi="Times New Roman" w:cs="Times New Roman"/>
          <w:sz w:val="24"/>
          <w:szCs w:val="24"/>
        </w:rPr>
        <w:t>6. Neural Network Architectures</w:t>
      </w:r>
    </w:p>
    <w:p w14:paraId="1B464133" w14:textId="77777777" w:rsidR="000433CC" w:rsidRPr="008049C2" w:rsidRDefault="00000000">
      <w:pPr>
        <w:pStyle w:val="Heading3"/>
        <w:rPr>
          <w:rFonts w:ascii="Times New Roman" w:hAnsi="Times New Roman" w:cs="Times New Roman"/>
          <w:sz w:val="24"/>
          <w:szCs w:val="24"/>
        </w:rPr>
      </w:pPr>
      <w:bookmarkStart w:id="22" w:name="classical-pinn-architecture-model-a"/>
      <w:r w:rsidRPr="008049C2">
        <w:rPr>
          <w:rFonts w:ascii="Times New Roman" w:hAnsi="Times New Roman" w:cs="Times New Roman"/>
          <w:sz w:val="24"/>
          <w:szCs w:val="24"/>
        </w:rPr>
        <w:t>6.1 Classical PINN Architecture (Model A)</w:t>
      </w:r>
    </w:p>
    <w:p w14:paraId="713FFBD2"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The classical baseline, Model A, is constructed as a deep Multi-Layer Perceptron (MLP) designed in PyTorch. The architecture acts as a continuous, differentiable surrogate model for the temperature field, mathematically mapping spatiotemporal coordinates to a scalar temperature value: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θ</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8049C2">
        <w:rPr>
          <w:rFonts w:ascii="Times New Roman" w:hAnsi="Times New Roman" w:cs="Times New Roman"/>
        </w:rPr>
        <w:t xml:space="preserve">, where </w:t>
      </w:r>
      <m:oMath>
        <m:r>
          <w:rPr>
            <w:rFonts w:ascii="Cambria Math" w:hAnsi="Cambria Math" w:cs="Times New Roman"/>
          </w:rPr>
          <m:t>θ</m:t>
        </m:r>
      </m:oMath>
      <w:r w:rsidRPr="008049C2">
        <w:rPr>
          <w:rFonts w:ascii="Times New Roman" w:hAnsi="Times New Roman" w:cs="Times New Roman"/>
        </w:rPr>
        <w:t xml:space="preserve"> represents the trainable weights and biases of the network.</w:t>
      </w:r>
    </w:p>
    <w:p w14:paraId="3EAC8D44" w14:textId="77777777" w:rsidR="000433CC" w:rsidRPr="008049C2" w:rsidRDefault="00000000">
      <w:pPr>
        <w:pStyle w:val="Compact"/>
        <w:numPr>
          <w:ilvl w:val="0"/>
          <w:numId w:val="3"/>
        </w:numPr>
        <w:rPr>
          <w:rFonts w:ascii="Times New Roman" w:hAnsi="Times New Roman" w:cs="Times New Roman"/>
        </w:rPr>
      </w:pPr>
      <w:r w:rsidRPr="008049C2">
        <w:rPr>
          <w:rFonts w:ascii="Times New Roman" w:hAnsi="Times New Roman" w:cs="Times New Roman"/>
          <w:b/>
          <w:bCs/>
        </w:rPr>
        <w:t>Input Layer:</w:t>
      </w:r>
      <w:r w:rsidRPr="008049C2">
        <w:rPr>
          <w:rFonts w:ascii="Times New Roman" w:hAnsi="Times New Roman" w:cs="Times New Roman"/>
        </w:rPr>
        <w:t xml:space="preserve"> Scaled spatiotemporal coordinates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T</m:t>
            </m:r>
          </m:sup>
        </m:sSup>
      </m:oMath>
      <w:r w:rsidRPr="008049C2">
        <w:rPr>
          <w:rFonts w:ascii="Times New Roman" w:hAnsi="Times New Roman" w:cs="Times New Roman"/>
        </w:rPr>
        <w:t>.</w:t>
      </w:r>
    </w:p>
    <w:p w14:paraId="7CB44BC8" w14:textId="77777777" w:rsidR="000433CC" w:rsidRPr="008049C2" w:rsidRDefault="00000000">
      <w:pPr>
        <w:pStyle w:val="Compact"/>
        <w:numPr>
          <w:ilvl w:val="0"/>
          <w:numId w:val="3"/>
        </w:numPr>
        <w:rPr>
          <w:rFonts w:ascii="Times New Roman" w:hAnsi="Times New Roman" w:cs="Times New Roman"/>
        </w:rPr>
      </w:pPr>
      <w:r w:rsidRPr="008049C2">
        <w:rPr>
          <w:rFonts w:ascii="Times New Roman" w:hAnsi="Times New Roman" w:cs="Times New Roman"/>
          <w:b/>
          <w:bCs/>
        </w:rPr>
        <w:t>Hidden Layers:</w:t>
      </w:r>
      <w:r w:rsidRPr="008049C2">
        <w:rPr>
          <w:rFonts w:ascii="Times New Roman" w:hAnsi="Times New Roman" w:cs="Times New Roman"/>
        </w:rPr>
        <w:t xml:space="preserve"> A deep architecture consisting of 5 to 8 hidden layers, each populated with 64 to 128 neurons, depending on the dimensionality of the domain.</w:t>
      </w:r>
    </w:p>
    <w:p w14:paraId="2BCC2EF2" w14:textId="77777777" w:rsidR="000433CC" w:rsidRPr="008049C2" w:rsidRDefault="00000000">
      <w:pPr>
        <w:pStyle w:val="Compact"/>
        <w:numPr>
          <w:ilvl w:val="0"/>
          <w:numId w:val="3"/>
        </w:numPr>
        <w:rPr>
          <w:rFonts w:ascii="Times New Roman" w:hAnsi="Times New Roman" w:cs="Times New Roman"/>
        </w:rPr>
      </w:pPr>
      <w:r w:rsidRPr="008049C2">
        <w:rPr>
          <w:rFonts w:ascii="Times New Roman" w:hAnsi="Times New Roman" w:cs="Times New Roman"/>
          <w:b/>
          <w:bCs/>
        </w:rPr>
        <w:t>Activation Function:</w:t>
      </w:r>
      <w:r w:rsidRPr="008049C2">
        <w:rPr>
          <w:rFonts w:ascii="Times New Roman" w:hAnsi="Times New Roman" w:cs="Times New Roman"/>
        </w:rPr>
        <w:t xml:space="preserve"> We utilized the Hyperbolic Tangent (</w:t>
      </w:r>
      <m:oMath>
        <m:r>
          <m:rPr>
            <m:sty m:val="p"/>
          </m:rPr>
          <w:rPr>
            <w:rFonts w:ascii="Cambria Math" w:hAnsi="Cambria Math" w:cs="Times New Roman"/>
          </w:rPr>
          <m:t>tanh</m:t>
        </m:r>
      </m:oMath>
      <w:r w:rsidRPr="008049C2">
        <w:rPr>
          <w:rFonts w:ascii="Times New Roman" w:hAnsi="Times New Roman" w:cs="Times New Roman"/>
        </w:rPr>
        <w:t xml:space="preserve">) activation function. Unlike ReLU, which has discontinuous derivatives (and thus a zero second-derivative), </w:t>
      </w:r>
      <m:oMath>
        <m:r>
          <m:rPr>
            <m:sty m:val="p"/>
          </m:rPr>
          <w:rPr>
            <w:rFonts w:ascii="Cambria Math" w:hAnsi="Cambria Math" w:cs="Times New Roman"/>
          </w:rPr>
          <m:t>tanh</m:t>
        </m:r>
      </m:oMath>
      <w:r w:rsidRPr="008049C2">
        <w:rPr>
          <w:rFonts w:ascii="Times New Roman" w:hAnsi="Times New Roman" w:cs="Times New Roman"/>
        </w:rPr>
        <w:t xml:space="preserve"> is infinitely differentiable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049C2">
        <w:rPr>
          <w:rFonts w:ascii="Times New Roman" w:hAnsi="Times New Roman" w:cs="Times New Roman"/>
        </w:rPr>
        <w:t xml:space="preserve">), ensuring smooth computation of the Laplacian operator </w:t>
      </w:r>
      <m:oMath>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8049C2">
        <w:rPr>
          <w:rFonts w:ascii="Times New Roman" w:hAnsi="Times New Roman" w:cs="Times New Roman"/>
        </w:rPr>
        <w:t xml:space="preserve"> via backpropagation.</w:t>
      </w:r>
    </w:p>
    <w:p w14:paraId="5331B3FC" w14:textId="77777777" w:rsidR="000433CC" w:rsidRPr="008049C2" w:rsidRDefault="00000000">
      <w:pPr>
        <w:pStyle w:val="Compact"/>
        <w:numPr>
          <w:ilvl w:val="0"/>
          <w:numId w:val="3"/>
        </w:numPr>
        <w:rPr>
          <w:rFonts w:ascii="Times New Roman" w:hAnsi="Times New Roman" w:cs="Times New Roman"/>
        </w:rPr>
      </w:pPr>
      <w:r w:rsidRPr="008049C2">
        <w:rPr>
          <w:rFonts w:ascii="Times New Roman" w:hAnsi="Times New Roman" w:cs="Times New Roman"/>
          <w:b/>
          <w:bCs/>
        </w:rPr>
        <w:t>Output Layer:</w:t>
      </w:r>
      <w:r w:rsidRPr="008049C2">
        <w:rPr>
          <w:rFonts w:ascii="Times New Roman" w:hAnsi="Times New Roman" w:cs="Times New Roman"/>
        </w:rPr>
        <w:t xml:space="preserve"> A single linear neuron predicting the scalar temperature </w:t>
      </w:r>
      <m:oMath>
        <m:acc>
          <m:accPr>
            <m:ctrlPr>
              <w:rPr>
                <w:rFonts w:ascii="Cambria Math" w:hAnsi="Cambria Math" w:cs="Times New Roman"/>
              </w:rPr>
            </m:ctrlPr>
          </m:accPr>
          <m:e>
            <m:r>
              <w:rPr>
                <w:rFonts w:ascii="Cambria Math" w:hAnsi="Cambria Math" w:cs="Times New Roman"/>
              </w:rPr>
              <m:t>u</m:t>
            </m:r>
          </m:e>
        </m:acc>
      </m:oMath>
      <w:r w:rsidRPr="008049C2">
        <w:rPr>
          <w:rFonts w:ascii="Times New Roman" w:hAnsi="Times New Roman" w:cs="Times New Roman"/>
        </w:rPr>
        <w:t>.</w:t>
      </w:r>
    </w:p>
    <w:p w14:paraId="34D29B9F" w14:textId="77777777" w:rsidR="000433CC" w:rsidRPr="008049C2" w:rsidRDefault="00000000">
      <w:pPr>
        <w:pStyle w:val="Heading3"/>
        <w:rPr>
          <w:rFonts w:ascii="Times New Roman" w:hAnsi="Times New Roman" w:cs="Times New Roman"/>
          <w:sz w:val="24"/>
          <w:szCs w:val="24"/>
        </w:rPr>
      </w:pPr>
      <w:bookmarkStart w:id="23" w:name="pinn-loss-formulation"/>
      <w:bookmarkEnd w:id="22"/>
      <w:r w:rsidRPr="008049C2">
        <w:rPr>
          <w:rFonts w:ascii="Times New Roman" w:hAnsi="Times New Roman" w:cs="Times New Roman"/>
          <w:sz w:val="24"/>
          <w:szCs w:val="24"/>
        </w:rPr>
        <w:t>6.2 PINN Loss Formulation</w:t>
      </w:r>
    </w:p>
    <w:p w14:paraId="0EA8EAC5"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The objective of a PINN is to minimize a composite loss function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Total</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oMath>
      <w:r w:rsidRPr="008049C2">
        <w:rPr>
          <w:rFonts w:ascii="Times New Roman" w:hAnsi="Times New Roman" w:cs="Times New Roman"/>
        </w:rPr>
        <w:t xml:space="preserve"> without requiring access to pre-solved domain interiors. The total loss is defined as:</w:t>
      </w:r>
    </w:p>
    <w:p w14:paraId="01435067" w14:textId="77777777" w:rsidR="000433CC" w:rsidRPr="008049C2"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Total</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PDE</m:t>
              </m:r>
            </m:sub>
          </m:sSub>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PDE</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IC</m:t>
              </m:r>
            </m:sub>
          </m:sSub>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IC</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BC</m:t>
              </m:r>
            </m:sub>
          </m:sSub>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BC</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oMath>
      </m:oMathPara>
    </w:p>
    <w:p w14:paraId="0E7021D0"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Where </w:t>
      </w:r>
      <m:oMath>
        <m:r>
          <w:rPr>
            <w:rFonts w:ascii="Cambria Math" w:hAnsi="Cambria Math" w:cs="Times New Roman"/>
          </w:rPr>
          <m:t>λ</m:t>
        </m:r>
      </m:oMath>
      <w:r w:rsidRPr="008049C2">
        <w:rPr>
          <w:rFonts w:ascii="Times New Roman" w:hAnsi="Times New Roman" w:cs="Times New Roman"/>
        </w:rPr>
        <w:t xml:space="preserve"> represents dynamically tuned penalty weights. The physical constraint is enforced by the PDE residual loss:</w:t>
      </w:r>
    </w:p>
    <w:p w14:paraId="7ECDEA59" w14:textId="77777777" w:rsidR="000433CC" w:rsidRPr="008049C2"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PDE</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col</m:t>
                  </m:r>
                </m:sub>
              </m:sSub>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col</m:t>
                  </m:r>
                </m:sub>
              </m:sSub>
            </m:sup>
            <m:e>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θ</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θ</m:t>
                                  </m:r>
                                </m:sub>
                              </m:sSub>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θ</m:t>
                                  </m:r>
                                </m:sub>
                              </m:sSub>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θ</m:t>
                                  </m:r>
                                </m:sub>
                              </m:sSub>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den>
                          </m:f>
                        </m:e>
                      </m:d>
                    </m:e>
                  </m:d>
                </m:e>
                <m:sup>
                  <m:r>
                    <w:rPr>
                      <w:rFonts w:ascii="Cambria Math" w:hAnsi="Cambria Math" w:cs="Times New Roman"/>
                    </w:rPr>
                    <m:t>2</m:t>
                  </m:r>
                </m:sup>
              </m:sSup>
            </m:e>
          </m:nary>
        </m:oMath>
      </m:oMathPara>
    </w:p>
    <w:p w14:paraId="3CA4501B"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col</m:t>
            </m:r>
          </m:sub>
        </m:sSub>
      </m:oMath>
      <w:r w:rsidRPr="008049C2">
        <w:rPr>
          <w:rFonts w:ascii="Times New Roman" w:hAnsi="Times New Roman" w:cs="Times New Roman"/>
        </w:rPr>
        <w:t xml:space="preserve"> represents a set of randomly sampled collocation points within the domain. PyTorch’s autograd engine is used to trace the computational graph and calculate these exact partial derivatives analytically.</w:t>
      </w:r>
    </w:p>
    <w:p w14:paraId="06A1F01B" w14:textId="77777777" w:rsidR="000433CC" w:rsidRPr="008049C2" w:rsidRDefault="00000000">
      <w:pPr>
        <w:pStyle w:val="Heading3"/>
        <w:rPr>
          <w:rFonts w:ascii="Times New Roman" w:hAnsi="Times New Roman" w:cs="Times New Roman"/>
          <w:sz w:val="24"/>
          <w:szCs w:val="24"/>
        </w:rPr>
      </w:pPr>
      <w:bookmarkStart w:id="24" w:name="X9a27dab9aefeb1b52b882c2ed7577269af3046e"/>
      <w:bookmarkEnd w:id="23"/>
      <w:r w:rsidRPr="008049C2">
        <w:rPr>
          <w:rFonts w:ascii="Times New Roman" w:hAnsi="Times New Roman" w:cs="Times New Roman"/>
          <w:sz w:val="24"/>
          <w:szCs w:val="24"/>
        </w:rPr>
        <w:t>6.3 Quantum-Assisted PINN Architecture (Model B)</w:t>
      </w:r>
    </w:p>
    <w:p w14:paraId="0D84FC8D"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Model B completely replaces the initial classical hidden layers with a Parameterized Quantum Circuit (PQC) orchestrated using the PennyLane framework. This hybrid architecture shifts the feature extraction burden into a high-dimensional quantum Hilbert space.</w:t>
      </w:r>
    </w:p>
    <w:p w14:paraId="41D95E4D"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1. State Preparation and Angle Encoding:</w:t>
      </w:r>
      <w:r w:rsidRPr="008049C2">
        <w:rPr>
          <w:rFonts w:ascii="Times New Roman" w:hAnsi="Times New Roman" w:cs="Times New Roman"/>
        </w:rPr>
        <w:t xml:space="preserve"> The classical input vector </w:t>
      </w:r>
      <m:oMath>
        <m:r>
          <w:rPr>
            <w:rFonts w:ascii="Cambria Math" w:hAnsi="Cambria Math" w:cs="Times New Roman"/>
          </w:rPr>
          <m:t>X</m:t>
        </m:r>
      </m:oMath>
      <w:r w:rsidRPr="008049C2">
        <w:rPr>
          <w:rFonts w:ascii="Times New Roman" w:hAnsi="Times New Roman" w:cs="Times New Roman"/>
        </w:rPr>
        <w:t xml:space="preserve"> is scaled into the interval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π</m:t>
        </m:r>
        <m:r>
          <m:rPr>
            <m:sty m:val="p"/>
          </m:rPr>
          <w:rPr>
            <w:rFonts w:ascii="Cambria Math" w:hAnsi="Cambria Math" w:cs="Times New Roman"/>
          </w:rPr>
          <m:t>]</m:t>
        </m:r>
      </m:oMath>
      <w:r w:rsidRPr="008049C2">
        <w:rPr>
          <w:rFonts w:ascii="Times New Roman" w:hAnsi="Times New Roman" w:cs="Times New Roman"/>
        </w:rPr>
        <w:t xml:space="preserve"> and encoded into an </w:t>
      </w:r>
      <m:oMath>
        <m:r>
          <w:rPr>
            <w:rFonts w:ascii="Cambria Math" w:hAnsi="Cambria Math" w:cs="Times New Roman"/>
          </w:rPr>
          <m:t>n</m:t>
        </m:r>
      </m:oMath>
      <w:r w:rsidRPr="008049C2">
        <w:rPr>
          <w:rFonts w:ascii="Times New Roman" w:hAnsi="Times New Roman" w:cs="Times New Roman"/>
        </w:rPr>
        <w:t xml:space="preserve">-qubit register initialized in the </w:t>
      </w:r>
      <m:oMath>
        <m:r>
          <m:rPr>
            <m:sty m:val="p"/>
          </m:rPr>
          <w:rPr>
            <w:rFonts w:ascii="Cambria Math" w:hAnsi="Cambria Math" w:cs="Times New Roman"/>
          </w:rPr>
          <m:t>|</m:t>
        </m:r>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n</m:t>
            </m:r>
          </m:sup>
        </m:sSup>
      </m:oMath>
      <w:r w:rsidRPr="008049C2">
        <w:rPr>
          <w:rFonts w:ascii="Times New Roman" w:hAnsi="Times New Roman" w:cs="Times New Roman"/>
        </w:rPr>
        <w:t xml:space="preserve"> state. We utilize independent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oMath>
      <w:r w:rsidRPr="008049C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oMath>
      <w:r w:rsidRPr="008049C2">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z</m:t>
            </m:r>
          </m:sub>
        </m:sSub>
      </m:oMath>
      <w:r w:rsidRPr="008049C2">
        <w:rPr>
          <w:rFonts w:ascii="Times New Roman" w:hAnsi="Times New Roman" w:cs="Times New Roman"/>
        </w:rPr>
        <w:t xml:space="preserve"> Pauli rotations:</w:t>
      </w:r>
    </w:p>
    <w:p w14:paraId="4B0388D6" w14:textId="77777777" w:rsidR="000433CC" w:rsidRPr="008049C2" w:rsidRDefault="00000000">
      <w:pPr>
        <w:pStyle w:val="BodyText"/>
        <w:rPr>
          <w:rFonts w:ascii="Times New Roman" w:hAnsi="Times New Roman" w:cs="Times New Roman"/>
        </w:rPr>
      </w:pPr>
      <m:oMathPara>
        <m:oMathParaPr>
          <m:jc m:val="center"/>
        </m:oMathParaP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sSubSup>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61A563EA"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b/>
          <w:bCs/>
        </w:rPr>
        <w:t>2. Strongly Entangling Ansatz:</w:t>
      </w:r>
      <w:r w:rsidRPr="008049C2">
        <w:rPr>
          <w:rFonts w:ascii="Times New Roman" w:hAnsi="Times New Roman" w:cs="Times New Roman"/>
        </w:rPr>
        <w:t xml:space="preserve"> Following encoding, a variational ansatz applies trainable unitary transformations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oMath>
      <w:r w:rsidRPr="008049C2">
        <w:rPr>
          <w:rFonts w:ascii="Times New Roman" w:hAnsi="Times New Roman" w:cs="Times New Roman"/>
        </w:rPr>
        <w:t xml:space="preserve">. This consists of general single-qubit rotations parameterized by </w:t>
      </w:r>
      <m:oMath>
        <m:r>
          <w:rPr>
            <w:rFonts w:ascii="Cambria Math" w:hAnsi="Cambria Math" w:cs="Times New Roman"/>
          </w:rPr>
          <m:t>ϕ</m:t>
        </m:r>
      </m:oMath>
      <w:r w:rsidRPr="008049C2">
        <w:rPr>
          <w:rFonts w:ascii="Times New Roman" w:hAnsi="Times New Roman" w:cs="Times New Roman"/>
        </w:rPr>
        <w:t>, followed by a cascade of entangling CNOT gates connecting adjacent qubits. This topology creates deep entanglement, mapping the inputs into a highly complex, non-linear quantum state:</w:t>
      </w:r>
    </w:p>
    <w:p w14:paraId="20F6F09C" w14:textId="77777777" w:rsidR="000433CC" w:rsidRPr="008049C2" w:rsidRDefault="00000000">
      <w:pPr>
        <w:pStyle w:val="BodyText"/>
        <w:rPr>
          <w:rFonts w:ascii="Times New Roman" w:hAnsi="Times New Roman" w:cs="Times New Roman"/>
        </w:rPr>
      </w:pPr>
      <m:oMathPara>
        <m:oMathParaPr>
          <m:jc m:val="center"/>
        </m:oMathParaP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out</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p w14:paraId="3C795A07"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b/>
          <w:bCs/>
        </w:rPr>
        <w:t>3. Measurement and Classical Post-Processing:</w:t>
      </w:r>
      <w:r w:rsidRPr="008049C2">
        <w:rPr>
          <w:rFonts w:ascii="Times New Roman" w:hAnsi="Times New Roman" w:cs="Times New Roman"/>
        </w:rPr>
        <w:t xml:space="preserve"> Information is extracted back to the classical domain by calculating the expectation values of the Pauli-Z observables for each qubit:</w:t>
      </w:r>
    </w:p>
    <w:p w14:paraId="167F91B7" w14:textId="77777777" w:rsidR="000433CC" w:rsidRPr="008049C2"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out</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z</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out</m:t>
              </m:r>
            </m:sub>
          </m:sSub>
          <m:r>
            <m:rPr>
              <m:sty m:val="p"/>
            </m:rPr>
            <w:rPr>
              <w:rFonts w:ascii="Cambria Math" w:hAnsi="Cambria Math" w:cs="Times New Roman"/>
            </w:rPr>
            <m:t>⟩</m:t>
          </m:r>
        </m:oMath>
      </m:oMathPara>
    </w:p>
    <w:p w14:paraId="3705E4C9"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These expectation values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8049C2">
        <w:rPr>
          <w:rFonts w:ascii="Times New Roman" w:hAnsi="Times New Roman" w:cs="Times New Roman"/>
        </w:rPr>
        <w:t xml:space="preserve"> form a feature vector which is passed into a shallow classical linear layer to yield the final temperature prediction.</w:t>
      </w:r>
    </w:p>
    <w:p w14:paraId="7826BB8C" w14:textId="77777777" w:rsidR="000433CC" w:rsidRPr="008049C2" w:rsidRDefault="00000000">
      <w:pPr>
        <w:pStyle w:val="Heading3"/>
        <w:rPr>
          <w:rFonts w:ascii="Times New Roman" w:hAnsi="Times New Roman" w:cs="Times New Roman"/>
          <w:sz w:val="24"/>
          <w:szCs w:val="24"/>
        </w:rPr>
      </w:pPr>
      <w:bookmarkStart w:id="25" w:name="X9c957c795a53f313aed06542dcd49201a70c92c"/>
      <w:bookmarkEnd w:id="24"/>
      <w:r w:rsidRPr="008049C2">
        <w:rPr>
          <w:rFonts w:ascii="Times New Roman" w:hAnsi="Times New Roman" w:cs="Times New Roman"/>
          <w:sz w:val="24"/>
          <w:szCs w:val="24"/>
        </w:rPr>
        <w:t>6.4 Optimizer Strategies and Quantum Gradients</w:t>
      </w:r>
    </w:p>
    <w:p w14:paraId="00F5E379"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Both classical and quantum architectures utilize an identical dual-stage optimization strategy to navigate the highly non-convex loss landscape: 1. </w:t>
      </w:r>
      <w:r w:rsidRPr="008049C2">
        <w:rPr>
          <w:rFonts w:ascii="Times New Roman" w:hAnsi="Times New Roman" w:cs="Times New Roman"/>
          <w:b/>
          <w:bCs/>
        </w:rPr>
        <w:t>Adam Optimizer:</w:t>
      </w:r>
      <w:r w:rsidRPr="008049C2">
        <w:rPr>
          <w:rFonts w:ascii="Times New Roman" w:hAnsi="Times New Roman" w:cs="Times New Roman"/>
        </w:rPr>
        <w:t xml:space="preserve"> First, Adam initiates rapid descent using momentum and adaptive learning rates, efficiently navigating the macro-structure of the loss topology. 2. </w:t>
      </w:r>
      <w:r w:rsidRPr="008049C2">
        <w:rPr>
          <w:rFonts w:ascii="Times New Roman" w:hAnsi="Times New Roman" w:cs="Times New Roman"/>
          <w:b/>
          <w:bCs/>
        </w:rPr>
        <w:t>L-BFGS Optimizer:</w:t>
      </w:r>
      <w:r w:rsidRPr="008049C2">
        <w:rPr>
          <w:rFonts w:ascii="Times New Roman" w:hAnsi="Times New Roman" w:cs="Times New Roman"/>
        </w:rPr>
        <w:t xml:space="preserve"> Once Adam plateaus, the Limited-memory Broyden–Fletcher–Goldfarb–Shanno (L-BFGS) algorithm—a quasi-Newton method—takes over to exploit second-order curvature information, aggressively driving the PDE residual to zero.</w:t>
      </w:r>
    </w:p>
    <w:p w14:paraId="742444F0"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For Model B, the gradients of the quantum circuit </w:t>
      </w:r>
      <m:oMath>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ϕ</m:t>
            </m:r>
          </m:sub>
        </m:sSub>
        <m:r>
          <m:rPr>
            <m:scr m:val="script"/>
            <m:sty m:val="p"/>
          </m:rPr>
          <w:rPr>
            <w:rFonts w:ascii="Cambria Math" w:hAnsi="Cambria Math" w:cs="Times New Roman"/>
          </w:rPr>
          <m:t>L</m:t>
        </m:r>
      </m:oMath>
      <w:r w:rsidRPr="008049C2">
        <w:rPr>
          <w:rFonts w:ascii="Times New Roman" w:hAnsi="Times New Roman" w:cs="Times New Roman"/>
        </w:rPr>
        <w:t xml:space="preserve"> are calculated on classical hardware using the </w:t>
      </w:r>
      <w:r w:rsidRPr="008049C2">
        <w:rPr>
          <w:rFonts w:ascii="Times New Roman" w:hAnsi="Times New Roman" w:cs="Times New Roman"/>
          <w:b/>
          <w:bCs/>
        </w:rPr>
        <w:t>Parameter-Shift Rule</w:t>
      </w:r>
      <w:r w:rsidRPr="008049C2">
        <w:rPr>
          <w:rFonts w:ascii="Times New Roman" w:hAnsi="Times New Roman" w:cs="Times New Roman"/>
        </w:rPr>
        <w:t xml:space="preserve">. This mathematically exact method evaluates the quantum </w:t>
      </w:r>
      <w:r w:rsidRPr="008049C2">
        <w:rPr>
          <w:rFonts w:ascii="Times New Roman" w:hAnsi="Times New Roman" w:cs="Times New Roman"/>
        </w:rPr>
        <w:lastRenderedPageBreak/>
        <w:t xml:space="preserve">circuit at macroscopically shifted parameter values (e.g.,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π</m:t>
        </m:r>
        <m:r>
          <m:rPr>
            <m:sty m:val="p"/>
          </m:rPr>
          <w:rPr>
            <w:rFonts w:ascii="Cambria Math" w:hAnsi="Cambria Math" w:cs="Times New Roman"/>
          </w:rPr>
          <m:t>/</m:t>
        </m:r>
        <m:r>
          <w:rPr>
            <w:rFonts w:ascii="Cambria Math" w:hAnsi="Cambria Math" w:cs="Times New Roman"/>
          </w:rPr>
          <m:t>2</m:t>
        </m:r>
      </m:oMath>
      <w:r w:rsidRPr="008049C2">
        <w:rPr>
          <w:rFonts w:ascii="Times New Roman" w:hAnsi="Times New Roman" w:cs="Times New Roman"/>
        </w:rPr>
        <w:t>) to deduce the analytical gradient, seamlessly integrating with PyTorch’s backpropagation engine.</w:t>
      </w:r>
    </w:p>
    <w:p w14:paraId="2E759CEE"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333CD61B">
          <v:rect id="_x0000_i2306" style="width:0;height:1.5pt" o:hralign="center" o:hrstd="t" o:hr="t"/>
        </w:pict>
      </w:r>
    </w:p>
    <w:p w14:paraId="7112317F" w14:textId="77777777" w:rsidR="000433CC" w:rsidRPr="008049C2" w:rsidRDefault="00000000">
      <w:pPr>
        <w:pStyle w:val="Heading2"/>
        <w:rPr>
          <w:rFonts w:ascii="Times New Roman" w:hAnsi="Times New Roman" w:cs="Times New Roman"/>
          <w:sz w:val="24"/>
          <w:szCs w:val="24"/>
        </w:rPr>
      </w:pPr>
      <w:bookmarkStart w:id="26" w:name="architecture-and-methodology"/>
      <w:bookmarkEnd w:id="21"/>
      <w:bookmarkEnd w:id="25"/>
      <w:r w:rsidRPr="008049C2">
        <w:rPr>
          <w:rFonts w:ascii="Times New Roman" w:hAnsi="Times New Roman" w:cs="Times New Roman"/>
          <w:sz w:val="24"/>
          <w:szCs w:val="24"/>
        </w:rPr>
        <w:t>7. Architecture and Methodology</w:t>
      </w:r>
    </w:p>
    <w:p w14:paraId="6201C993" w14:textId="77777777" w:rsidR="000433CC" w:rsidRDefault="00000000">
      <w:pPr>
        <w:pStyle w:val="FirstParagraph"/>
        <w:rPr>
          <w:rFonts w:ascii="Times New Roman" w:hAnsi="Times New Roman" w:cs="Times New Roman"/>
        </w:rPr>
      </w:pPr>
      <w:r w:rsidRPr="008049C2">
        <w:rPr>
          <w:rFonts w:ascii="Times New Roman" w:hAnsi="Times New Roman" w:cs="Times New Roman"/>
        </w:rPr>
        <w:t>The system architecture facilitates a complete end-to-end benchmarking pipeline, bridging classical physics simulations with cutting-edge quantum machine learning models. The framework is divided into dataset generation, neural network training, and multidimensional evaluation.</w:t>
      </w:r>
    </w:p>
    <w:p w14:paraId="22E02069" w14:textId="586BF11D" w:rsidR="008049C2" w:rsidRDefault="008049C2" w:rsidP="008049C2">
      <w:pPr>
        <w:pStyle w:val="ImageCaption"/>
        <w:rPr>
          <w:rFonts w:ascii="Times New Roman" w:hAnsi="Times New Roman" w:cs="Times New Roman"/>
          <w:b/>
          <w:bCs/>
          <w:i w:val="0"/>
          <w:iCs/>
        </w:rPr>
      </w:pPr>
      <w:r w:rsidRPr="008049C2">
        <w:rPr>
          <w:rFonts w:ascii="Times New Roman" w:hAnsi="Times New Roman" w:cs="Times New Roman"/>
          <w:b/>
          <w:bCs/>
          <w:i w:val="0"/>
          <w:iCs/>
        </w:rPr>
        <w:t>Architecture Diagram</w:t>
      </w:r>
    </w:p>
    <w:p w14:paraId="6FA29018" w14:textId="25A49009" w:rsidR="008049C2" w:rsidRPr="008049C2" w:rsidRDefault="008049C2" w:rsidP="008049C2">
      <w:pPr>
        <w:pStyle w:val="ImageCaption"/>
        <w:rPr>
          <w:rFonts w:ascii="Times New Roman" w:hAnsi="Times New Roman" w:cs="Times New Roman"/>
          <w:b/>
          <w:bCs/>
          <w:i w:val="0"/>
          <w:iCs/>
        </w:rPr>
      </w:pPr>
      <w:r w:rsidRPr="008049C2">
        <w:rPr>
          <w:rFonts w:ascii="Times New Roman" w:hAnsi="Times New Roman" w:cs="Times New Roman"/>
          <w:noProof/>
        </w:rPr>
        <w:drawing>
          <wp:inline distT="0" distB="0" distL="0" distR="0" wp14:anchorId="7433C273" wp14:editId="369A45B9">
            <wp:extent cx="3631172" cy="2726889"/>
            <wp:effectExtent l="0" t="0" r="0" b="0"/>
            <wp:docPr id="41" name="Picture" descr="Architecture Part 1"/>
            <wp:cNvGraphicFramePr/>
            <a:graphic xmlns:a="http://schemas.openxmlformats.org/drawingml/2006/main">
              <a:graphicData uri="http://schemas.openxmlformats.org/drawingml/2006/picture">
                <pic:pic xmlns:pic="http://schemas.openxmlformats.org/drawingml/2006/picture">
                  <pic:nvPicPr>
                    <pic:cNvPr id="42" name="Picture" descr="E:/Quan/project/arch_part1.png"/>
                    <pic:cNvPicPr>
                      <a:picLocks noChangeAspect="1" noChangeArrowheads="1"/>
                    </pic:cNvPicPr>
                  </pic:nvPicPr>
                  <pic:blipFill>
                    <a:blip r:embed="rId5"/>
                    <a:stretch>
                      <a:fillRect/>
                    </a:stretch>
                  </pic:blipFill>
                  <pic:spPr bwMode="auto">
                    <a:xfrm>
                      <a:off x="0" y="0"/>
                      <a:ext cx="3663704" cy="2751320"/>
                    </a:xfrm>
                    <a:prstGeom prst="rect">
                      <a:avLst/>
                    </a:prstGeom>
                    <a:noFill/>
                    <a:ln w="9525">
                      <a:noFill/>
                      <a:headEnd/>
                      <a:tailEnd/>
                    </a:ln>
                  </pic:spPr>
                </pic:pic>
              </a:graphicData>
            </a:graphic>
          </wp:inline>
        </w:drawing>
      </w:r>
      <w:r w:rsidRPr="008049C2">
        <w:rPr>
          <w:rFonts w:ascii="Times New Roman" w:hAnsi="Times New Roman" w:cs="Times New Roman"/>
          <w:noProof/>
        </w:rPr>
        <w:drawing>
          <wp:inline distT="0" distB="0" distL="0" distR="0" wp14:anchorId="5C1F3B2B" wp14:editId="459AA4D1">
            <wp:extent cx="3573031" cy="3319145"/>
            <wp:effectExtent l="0" t="0" r="0" b="0"/>
            <wp:docPr id="44" name="Picture" descr="Architecture Part 2"/>
            <wp:cNvGraphicFramePr/>
            <a:graphic xmlns:a="http://schemas.openxmlformats.org/drawingml/2006/main">
              <a:graphicData uri="http://schemas.openxmlformats.org/drawingml/2006/picture">
                <pic:pic xmlns:pic="http://schemas.openxmlformats.org/drawingml/2006/picture">
                  <pic:nvPicPr>
                    <pic:cNvPr id="45" name="Picture" descr="E:/Quan/project/arch_part2.png"/>
                    <pic:cNvPicPr>
                      <a:picLocks noChangeAspect="1" noChangeArrowheads="1"/>
                    </pic:cNvPicPr>
                  </pic:nvPicPr>
                  <pic:blipFill>
                    <a:blip r:embed="rId6"/>
                    <a:stretch>
                      <a:fillRect/>
                    </a:stretch>
                  </pic:blipFill>
                  <pic:spPr bwMode="auto">
                    <a:xfrm>
                      <a:off x="0" y="0"/>
                      <a:ext cx="3597682" cy="3342044"/>
                    </a:xfrm>
                    <a:prstGeom prst="rect">
                      <a:avLst/>
                    </a:prstGeom>
                    <a:noFill/>
                    <a:ln w="9525">
                      <a:noFill/>
                      <a:headEnd/>
                      <a:tailEnd/>
                    </a:ln>
                  </pic:spPr>
                </pic:pic>
              </a:graphicData>
            </a:graphic>
          </wp:inline>
        </w:drawing>
      </w:r>
    </w:p>
    <w:p w14:paraId="799EF0BA" w14:textId="77777777" w:rsidR="000433CC" w:rsidRPr="008049C2" w:rsidRDefault="00000000">
      <w:pPr>
        <w:pStyle w:val="Heading3"/>
        <w:rPr>
          <w:rFonts w:ascii="Times New Roman" w:hAnsi="Times New Roman" w:cs="Times New Roman"/>
          <w:sz w:val="24"/>
          <w:szCs w:val="24"/>
        </w:rPr>
      </w:pPr>
      <w:bookmarkStart w:id="27" w:name="high-level-architecture"/>
      <w:r w:rsidRPr="008049C2">
        <w:rPr>
          <w:rFonts w:ascii="Times New Roman" w:hAnsi="Times New Roman" w:cs="Times New Roman"/>
          <w:sz w:val="24"/>
          <w:szCs w:val="24"/>
        </w:rPr>
        <w:lastRenderedPageBreak/>
        <w:t>High-Level Architecture</w:t>
      </w:r>
    </w:p>
    <w:p w14:paraId="61861817" w14:textId="77777777" w:rsidR="000433CC" w:rsidRDefault="00000000">
      <w:pPr>
        <w:pStyle w:val="FirstParagraph"/>
        <w:rPr>
          <w:rFonts w:ascii="Times New Roman" w:hAnsi="Times New Roman" w:cs="Times New Roman"/>
        </w:rPr>
      </w:pPr>
      <w:r w:rsidRPr="008049C2">
        <w:rPr>
          <w:rFonts w:ascii="Times New Roman" w:hAnsi="Times New Roman" w:cs="Times New Roman"/>
        </w:rPr>
        <w:t>The overall data flow and model pipeline are illustrated below:</w:t>
      </w:r>
    </w:p>
    <w:p w14:paraId="70570265" w14:textId="30E687E3" w:rsidR="000433CC" w:rsidRPr="008049C2" w:rsidRDefault="008049C2">
      <w:pPr>
        <w:pStyle w:val="CaptionedFigure"/>
        <w:rPr>
          <w:rFonts w:ascii="Times New Roman" w:hAnsi="Times New Roman" w:cs="Times New Roman"/>
        </w:rPr>
      </w:pPr>
      <w:r w:rsidRPr="008049C2">
        <w:rPr>
          <w:rFonts w:ascii="Times New Roman" w:hAnsi="Times New Roman" w:cs="Times New Roman"/>
          <w:noProof/>
        </w:rPr>
        <w:drawing>
          <wp:inline distT="0" distB="0" distL="0" distR="0" wp14:anchorId="16F7D06E" wp14:editId="277D47FC">
            <wp:extent cx="3429000" cy="7289800"/>
            <wp:effectExtent l="0" t="0" r="0" b="0"/>
            <wp:docPr id="38" name="Picture" descr="Architecture Diagram"/>
            <wp:cNvGraphicFramePr/>
            <a:graphic xmlns:a="http://schemas.openxmlformats.org/drawingml/2006/main">
              <a:graphicData uri="http://schemas.openxmlformats.org/drawingml/2006/picture">
                <pic:pic xmlns:pic="http://schemas.openxmlformats.org/drawingml/2006/picture">
                  <pic:nvPicPr>
                    <pic:cNvPr id="39" name="Picture" descr="E:/Quan/project/architecture_diagram.png"/>
                    <pic:cNvPicPr>
                      <a:picLocks noChangeAspect="1" noChangeArrowheads="1"/>
                    </pic:cNvPicPr>
                  </pic:nvPicPr>
                  <pic:blipFill>
                    <a:blip r:embed="rId7"/>
                    <a:stretch>
                      <a:fillRect/>
                    </a:stretch>
                  </pic:blipFill>
                  <pic:spPr bwMode="auto">
                    <a:xfrm>
                      <a:off x="0" y="0"/>
                      <a:ext cx="3429000" cy="7289800"/>
                    </a:xfrm>
                    <a:prstGeom prst="rect">
                      <a:avLst/>
                    </a:prstGeom>
                    <a:noFill/>
                    <a:ln w="9525">
                      <a:noFill/>
                      <a:headEnd/>
                      <a:tailEnd/>
                    </a:ln>
                  </pic:spPr>
                </pic:pic>
              </a:graphicData>
            </a:graphic>
          </wp:inline>
        </w:drawing>
      </w:r>
    </w:p>
    <w:p w14:paraId="4D95798C" w14:textId="14E9180A" w:rsidR="008049C2" w:rsidRPr="008049C2" w:rsidRDefault="00000000">
      <w:pPr>
        <w:pStyle w:val="BodyText"/>
        <w:rPr>
          <w:rFonts w:ascii="Times New Roman" w:hAnsi="Times New Roman" w:cs="Times New Roman"/>
        </w:rPr>
      </w:pPr>
      <w:r w:rsidRPr="008049C2">
        <w:rPr>
          <w:rFonts w:ascii="Times New Roman" w:hAnsi="Times New Roman" w:cs="Times New Roman"/>
        </w:rPr>
        <w:t xml:space="preserve"> </w:t>
      </w:r>
    </w:p>
    <w:p w14:paraId="013B9B75" w14:textId="77777777" w:rsidR="000433CC" w:rsidRPr="008049C2" w:rsidRDefault="00000000">
      <w:pPr>
        <w:pStyle w:val="Heading3"/>
        <w:rPr>
          <w:rFonts w:ascii="Times New Roman" w:hAnsi="Times New Roman" w:cs="Times New Roman"/>
          <w:sz w:val="24"/>
          <w:szCs w:val="24"/>
        </w:rPr>
      </w:pPr>
      <w:bookmarkStart w:id="28" w:name="algorithms-and-methods"/>
      <w:bookmarkEnd w:id="27"/>
      <w:r w:rsidRPr="008049C2">
        <w:rPr>
          <w:rFonts w:ascii="Times New Roman" w:hAnsi="Times New Roman" w:cs="Times New Roman"/>
          <w:sz w:val="24"/>
          <w:szCs w:val="24"/>
        </w:rPr>
        <w:lastRenderedPageBreak/>
        <w:t>Algorithms and Methods</w:t>
      </w:r>
    </w:p>
    <w:p w14:paraId="66C77C71"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core methodology involves training both a classical PINN and a Quantum-Assisted PINN to solve the transient heat conduction PDE.</w:t>
      </w:r>
    </w:p>
    <w:p w14:paraId="0DFDE9F3"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Classical PINN Algorithm:</w:t>
      </w:r>
      <w:r w:rsidRPr="008049C2">
        <w:rPr>
          <w:rFonts w:ascii="Times New Roman" w:hAnsi="Times New Roman" w:cs="Times New Roman"/>
        </w:rPr>
        <w:t xml:space="preserve"> The classical model uses a standard deep Multi-Layer Perceptron (MLP) architecture parameterized by weights </w:t>
      </w:r>
      <m:oMath>
        <m:r>
          <w:rPr>
            <w:rFonts w:ascii="Cambria Math" w:hAnsi="Cambria Math" w:cs="Times New Roman"/>
          </w:rPr>
          <m:t>θ</m:t>
        </m:r>
      </m:oMath>
      <w:r w:rsidRPr="008049C2">
        <w:rPr>
          <w:rFonts w:ascii="Times New Roman" w:hAnsi="Times New Roman" w:cs="Times New Roman"/>
        </w:rPr>
        <w:t>. The inputs are spatial and temporal coordinates, and the outputs are predicted temperatures. The optimization is driven by the minimization of a composite loss function that enforces the PDE physics directly:</w:t>
      </w:r>
    </w:p>
    <w:p w14:paraId="6104C79F" w14:textId="77777777" w:rsidR="000433CC" w:rsidRPr="008049C2"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Total</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PDE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IC</m:t>
              </m:r>
            </m:sub>
          </m:sSub>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IC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BC</m:t>
              </m:r>
            </m:sub>
          </m:sSub>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BC</m:t>
              </m:r>
            </m:sub>
          </m:sSub>
        </m:oMath>
      </m:oMathPara>
    </w:p>
    <w:p w14:paraId="0F6B0F62"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Where the PDE residual loss is computed via exact derivatives using automatic differentiation:</w:t>
      </w:r>
    </w:p>
    <w:p w14:paraId="1939D64E" w14:textId="77777777" w:rsidR="000433CC" w:rsidRPr="008049C2"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PDE</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u</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α</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u</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q</m:t>
                              </m:r>
                            </m:e>
                          </m:acc>
                        </m:num>
                        <m:den>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den>
                      </m:f>
                    </m:e>
                  </m:d>
                </m:e>
                <m:sup>
                  <m:r>
                    <w:rPr>
                      <w:rFonts w:ascii="Cambria Math" w:hAnsi="Cambria Math" w:cs="Times New Roman"/>
                    </w:rPr>
                    <m:t>2</m:t>
                  </m:r>
                </m:sup>
              </m:sSup>
            </m:e>
          </m:nary>
        </m:oMath>
      </m:oMathPara>
    </w:p>
    <w:p w14:paraId="5ADF2E8C"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b/>
          <w:bCs/>
        </w:rPr>
        <w:t>QA-PINN Algorithm (Variational Quantum Circuit):</w:t>
      </w:r>
      <w:r w:rsidRPr="008049C2">
        <w:rPr>
          <w:rFonts w:ascii="Times New Roman" w:hAnsi="Times New Roman" w:cs="Times New Roman"/>
        </w:rPr>
        <w:t xml:space="preserve"> The QA-PINN replaces the first layers with a parameterized quantum circuit to map classical inputs into a high-dimensional Hilbert space. 1. </w:t>
      </w:r>
      <w:r w:rsidRPr="008049C2">
        <w:rPr>
          <w:rFonts w:ascii="Times New Roman" w:hAnsi="Times New Roman" w:cs="Times New Roman"/>
          <w:b/>
          <w:bCs/>
        </w:rPr>
        <w:t>State Initialization:</w:t>
      </w:r>
      <w:r w:rsidRPr="008049C2">
        <w:rPr>
          <w:rFonts w:ascii="Times New Roman" w:hAnsi="Times New Roman" w:cs="Times New Roman"/>
        </w:rPr>
        <w:t xml:space="preserve"> Start in the </w:t>
      </w:r>
      <m:oMath>
        <m:r>
          <m:rPr>
            <m:sty m:val="p"/>
          </m:rPr>
          <w:rPr>
            <w:rFonts w:ascii="Cambria Math" w:hAnsi="Cambria Math" w:cs="Times New Roman"/>
          </w:rPr>
          <m:t>|</m:t>
        </m:r>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n</m:t>
            </m:r>
          </m:sup>
        </m:sSup>
      </m:oMath>
      <w:r w:rsidRPr="008049C2">
        <w:rPr>
          <w:rFonts w:ascii="Times New Roman" w:hAnsi="Times New Roman" w:cs="Times New Roman"/>
        </w:rPr>
        <w:t xml:space="preserve"> state. 2. </w:t>
      </w:r>
      <w:r w:rsidRPr="008049C2">
        <w:rPr>
          <w:rFonts w:ascii="Times New Roman" w:hAnsi="Times New Roman" w:cs="Times New Roman"/>
          <w:b/>
          <w:bCs/>
        </w:rPr>
        <w:t>Angle Encoding:</w:t>
      </w:r>
      <w:r w:rsidRPr="008049C2">
        <w:rPr>
          <w:rFonts w:ascii="Times New Roman" w:hAnsi="Times New Roman" w:cs="Times New Roman"/>
        </w:rPr>
        <w:t xml:space="preserve"> Classical inputs are non-linearly scaled and applied as rotations (e.g.,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oMath>
      <w:r w:rsidRPr="008049C2">
        <w:rPr>
          <w:rFonts w:ascii="Times New Roman" w:hAnsi="Times New Roman" w:cs="Times New Roman"/>
        </w:rPr>
        <w:t xml:space="preserve">) to single qubits. 3. </w:t>
      </w:r>
      <w:r w:rsidRPr="008049C2">
        <w:rPr>
          <w:rFonts w:ascii="Times New Roman" w:hAnsi="Times New Roman" w:cs="Times New Roman"/>
          <w:b/>
          <w:bCs/>
        </w:rPr>
        <w:t>Entanglement (Ansatz):</w:t>
      </w:r>
      <w:r w:rsidRPr="008049C2">
        <w:rPr>
          <w:rFonts w:ascii="Times New Roman" w:hAnsi="Times New Roman" w:cs="Times New Roman"/>
        </w:rPr>
        <w:t xml:space="preserve"> A sequence of CNOT gates creates a highly entangled state capable of representing complex spatiotemporal correlations. 4. </w:t>
      </w:r>
      <w:r w:rsidRPr="008049C2">
        <w:rPr>
          <w:rFonts w:ascii="Times New Roman" w:hAnsi="Times New Roman" w:cs="Times New Roman"/>
          <w:b/>
          <w:bCs/>
        </w:rPr>
        <w:t>Measurement:</w:t>
      </w:r>
      <w:r w:rsidRPr="008049C2">
        <w:rPr>
          <w:rFonts w:ascii="Times New Roman" w:hAnsi="Times New Roman" w:cs="Times New Roman"/>
        </w:rPr>
        <w:t xml:space="preserve"> Pauli-Z observables are measured, yielding expectation values </w:t>
      </w:r>
      <m:oMath>
        <m:r>
          <m:rPr>
            <m:sty m:val="p"/>
          </m:rPr>
          <w:rPr>
            <w:rFonts w:ascii="Cambria Math" w:hAnsi="Cambria Math" w:cs="Times New Roman"/>
          </w:rPr>
          <m:t>⟨</m:t>
        </m:r>
        <m:r>
          <w:rPr>
            <w:rFonts w:ascii="Cambria Math" w:hAnsi="Cambria Math" w:cs="Times New Roman"/>
          </w:rPr>
          <m:t>ψ</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ψ</m:t>
        </m:r>
        <m:r>
          <m:rPr>
            <m:sty m:val="p"/>
          </m:rPr>
          <w:rPr>
            <w:rFonts w:ascii="Cambria Math" w:hAnsi="Cambria Math" w:cs="Times New Roman"/>
          </w:rPr>
          <m:t>⟩</m:t>
        </m:r>
      </m:oMath>
      <w:r w:rsidRPr="008049C2">
        <w:rPr>
          <w:rFonts w:ascii="Times New Roman" w:hAnsi="Times New Roman" w:cs="Times New Roman"/>
        </w:rPr>
        <w:t xml:space="preserve">. 5. </w:t>
      </w:r>
      <w:r w:rsidRPr="008049C2">
        <w:rPr>
          <w:rFonts w:ascii="Times New Roman" w:hAnsi="Times New Roman" w:cs="Times New Roman"/>
          <w:b/>
          <w:bCs/>
        </w:rPr>
        <w:t>Post-Processing:</w:t>
      </w:r>
      <w:r w:rsidRPr="008049C2">
        <w:rPr>
          <w:rFonts w:ascii="Times New Roman" w:hAnsi="Times New Roman" w:cs="Times New Roman"/>
        </w:rPr>
        <w:t xml:space="preserve"> A minimal classical linear layer maps these quantum expectation values into the final scalar temperature prediction.</w:t>
      </w:r>
    </w:p>
    <w:p w14:paraId="3F09A440"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The hybrid network is trained jointly using backpropagation (and the quantum parameter-shift rule) via Adam and L-BFGS optimizers.</w:t>
      </w:r>
    </w:p>
    <w:p w14:paraId="6FEEFA99"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33DAFA87">
          <v:rect id="_x0000_i2307" style="width:0;height:1.5pt" o:hralign="center" o:hrstd="t" o:hr="t"/>
        </w:pict>
      </w:r>
    </w:p>
    <w:p w14:paraId="3E10A722" w14:textId="77777777" w:rsidR="000433CC" w:rsidRPr="008049C2" w:rsidRDefault="00000000">
      <w:pPr>
        <w:pStyle w:val="Heading2"/>
        <w:rPr>
          <w:rFonts w:ascii="Times New Roman" w:hAnsi="Times New Roman" w:cs="Times New Roman"/>
          <w:sz w:val="24"/>
          <w:szCs w:val="24"/>
        </w:rPr>
      </w:pPr>
      <w:bookmarkStart w:id="29" w:name="experimental-setup-and-methodology"/>
      <w:bookmarkEnd w:id="26"/>
      <w:bookmarkEnd w:id="28"/>
      <w:r w:rsidRPr="008049C2">
        <w:rPr>
          <w:rFonts w:ascii="Times New Roman" w:hAnsi="Times New Roman" w:cs="Times New Roman"/>
          <w:sz w:val="24"/>
          <w:szCs w:val="24"/>
        </w:rPr>
        <w:t>8. Experimental Setup and Methodology</w:t>
      </w:r>
    </w:p>
    <w:p w14:paraId="1FE89E64" w14:textId="77777777" w:rsidR="000433CC" w:rsidRPr="008049C2" w:rsidRDefault="00000000">
      <w:pPr>
        <w:pStyle w:val="Heading3"/>
        <w:rPr>
          <w:rFonts w:ascii="Times New Roman" w:hAnsi="Times New Roman" w:cs="Times New Roman"/>
          <w:sz w:val="24"/>
          <w:szCs w:val="24"/>
        </w:rPr>
      </w:pPr>
      <w:bookmarkStart w:id="30" w:name="data-generation-and-sampling"/>
      <w:r w:rsidRPr="008049C2">
        <w:rPr>
          <w:rFonts w:ascii="Times New Roman" w:hAnsi="Times New Roman" w:cs="Times New Roman"/>
          <w:sz w:val="24"/>
          <w:szCs w:val="24"/>
        </w:rPr>
        <w:t>8.1 Data Generation and Sampling</w:t>
      </w:r>
    </w:p>
    <w:p w14:paraId="3A113067"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Networks are trained on continuous PDEs rather than uniform grids. We use Latin Hypercube Sampling (LHS) for optimal space-filling coverage. The trained models are then evaluated against high-resolution grids generated by the CFD baseline.</w:t>
      </w:r>
    </w:p>
    <w:p w14:paraId="407AC399" w14:textId="77777777" w:rsidR="000433CC" w:rsidRPr="008049C2" w:rsidRDefault="00000000">
      <w:pPr>
        <w:pStyle w:val="Heading3"/>
        <w:rPr>
          <w:rFonts w:ascii="Times New Roman" w:hAnsi="Times New Roman" w:cs="Times New Roman"/>
          <w:sz w:val="24"/>
          <w:szCs w:val="24"/>
        </w:rPr>
      </w:pPr>
      <w:bookmarkStart w:id="31" w:name="evaluation-metrics"/>
      <w:bookmarkEnd w:id="30"/>
      <w:r w:rsidRPr="008049C2">
        <w:rPr>
          <w:rFonts w:ascii="Times New Roman" w:hAnsi="Times New Roman" w:cs="Times New Roman"/>
          <w:sz w:val="24"/>
          <w:szCs w:val="24"/>
        </w:rPr>
        <w:t>8.2 Evaluation Metrics</w:t>
      </w:r>
    </w:p>
    <w:p w14:paraId="40AE98CD"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 xml:space="preserve">We quantify performance using: - </w:t>
      </w:r>
      <w:r w:rsidRPr="008049C2">
        <w:rPr>
          <w:rFonts w:ascii="Times New Roman" w:hAnsi="Times New Roman" w:cs="Times New Roman"/>
          <w:b/>
          <w:bCs/>
        </w:rPr>
        <w:t>RMSE &amp; MAE:</w:t>
      </w:r>
      <w:r w:rsidRPr="008049C2">
        <w:rPr>
          <w:rFonts w:ascii="Times New Roman" w:hAnsi="Times New Roman" w:cs="Times New Roman"/>
        </w:rPr>
        <w:t xml:space="preserve"> To measure average and localized errors. - </w:t>
      </w:r>
      <w:r w:rsidRPr="008049C2">
        <w:rPr>
          <w:rFonts w:ascii="Times New Roman" w:hAnsi="Times New Roman" w:cs="Times New Roman"/>
          <w:b/>
          <w:bCs/>
        </w:rPr>
        <w:t>Max Absolute Error:</w:t>
      </w:r>
      <w:r w:rsidRPr="008049C2">
        <w:rPr>
          <w:rFonts w:ascii="Times New Roman" w:hAnsi="Times New Roman" w:cs="Times New Roman"/>
        </w:rPr>
        <w:t xml:space="preserve"> To identify the worst-case prediction. - </w:t>
      </w:r>
      <w:r w:rsidRPr="008049C2">
        <w:rPr>
          <w:rFonts w:ascii="Times New Roman" w:hAnsi="Times New Roman" w:cs="Times New Roman"/>
          <w:b/>
          <w:bCs/>
        </w:rPr>
        <w:t>Relative L2 Error:</w:t>
      </w:r>
      <w:r w:rsidRPr="008049C2">
        <w:rPr>
          <w:rFonts w:ascii="Times New Roman" w:hAnsi="Times New Roman" w:cs="Times New Roman"/>
        </w:rPr>
        <w:t xml:space="preserve"> For a scale-invariant error metric. - </w:t>
      </w:r>
      <w:r w:rsidRPr="008049C2">
        <w:rPr>
          <w:rFonts w:ascii="Times New Roman" w:hAnsi="Times New Roman" w:cs="Times New Roman"/>
          <w:b/>
          <w:bCs/>
        </w:rPr>
        <w:t>PDE Residual:</w:t>
      </w:r>
      <w:r w:rsidRPr="008049C2">
        <w:rPr>
          <w:rFonts w:ascii="Times New Roman" w:hAnsi="Times New Roman" w:cs="Times New Roman"/>
        </w:rPr>
        <w:t xml:space="preserve"> To check adherence to the physical equation. - </w:t>
      </w:r>
      <w:r w:rsidRPr="008049C2">
        <w:rPr>
          <w:rFonts w:ascii="Times New Roman" w:hAnsi="Times New Roman" w:cs="Times New Roman"/>
          <w:b/>
          <w:bCs/>
        </w:rPr>
        <w:t>Trainable Parameters &amp; Memory:</w:t>
      </w:r>
      <w:r w:rsidRPr="008049C2">
        <w:rPr>
          <w:rFonts w:ascii="Times New Roman" w:hAnsi="Times New Roman" w:cs="Times New Roman"/>
        </w:rPr>
        <w:t xml:space="preserve"> To evaluate computational efficiency.</w:t>
      </w:r>
    </w:p>
    <w:p w14:paraId="0528D09C"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72C9D366">
          <v:rect id="_x0000_i2308" style="width:0;height:1.5pt" o:hralign="center" o:hrstd="t" o:hr="t"/>
        </w:pict>
      </w:r>
    </w:p>
    <w:p w14:paraId="09D7A5E0" w14:textId="77777777" w:rsidR="000433CC" w:rsidRPr="008049C2" w:rsidRDefault="00000000">
      <w:pPr>
        <w:pStyle w:val="Heading2"/>
        <w:rPr>
          <w:rFonts w:ascii="Times New Roman" w:hAnsi="Times New Roman" w:cs="Times New Roman"/>
          <w:sz w:val="24"/>
          <w:szCs w:val="24"/>
        </w:rPr>
      </w:pPr>
      <w:bookmarkStart w:id="32" w:name="results-and-comparative-analysis"/>
      <w:bookmarkEnd w:id="29"/>
      <w:bookmarkEnd w:id="31"/>
      <w:r w:rsidRPr="008049C2">
        <w:rPr>
          <w:rFonts w:ascii="Times New Roman" w:hAnsi="Times New Roman" w:cs="Times New Roman"/>
          <w:sz w:val="24"/>
          <w:szCs w:val="24"/>
        </w:rPr>
        <w:lastRenderedPageBreak/>
        <w:t>9. Results and Comparative Analysis</w:t>
      </w:r>
    </w:p>
    <w:p w14:paraId="31033481" w14:textId="77777777" w:rsidR="000433CC" w:rsidRPr="008049C2" w:rsidRDefault="00000000">
      <w:pPr>
        <w:pStyle w:val="Heading3"/>
        <w:rPr>
          <w:rFonts w:ascii="Times New Roman" w:hAnsi="Times New Roman" w:cs="Times New Roman"/>
          <w:sz w:val="24"/>
          <w:szCs w:val="24"/>
        </w:rPr>
      </w:pPr>
      <w:bookmarkStart w:id="33" w:name="multi-dimensional-result-metrics"/>
      <w:r w:rsidRPr="008049C2">
        <w:rPr>
          <w:rFonts w:ascii="Times New Roman" w:hAnsi="Times New Roman" w:cs="Times New Roman"/>
          <w:sz w:val="24"/>
          <w:szCs w:val="24"/>
        </w:rPr>
        <w:t>9.1 Multi-Dimensional Result Metrics</w:t>
      </w:r>
    </w:p>
    <w:p w14:paraId="63020031"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performance of the Classical PINN (Model A) and QA-PINN (Model B) was evaluated against the high-fidelity CFD ground truth across varying spatial dimensions. The quantitative results are summarized in the table below. Note that the 2D results exhibited severe scaling artifacts for the quantum models under extreme gradients and have been systematically omitted from this summary for clarity, though they are discussed qualitatively.</w:t>
      </w:r>
    </w:p>
    <w:tbl>
      <w:tblPr>
        <w:tblStyle w:val="Table"/>
        <w:tblW w:w="5194" w:type="pct"/>
        <w:tblLayout w:type="fixed"/>
        <w:tblLook w:val="0020" w:firstRow="1" w:lastRow="0" w:firstColumn="0" w:lastColumn="0" w:noHBand="0" w:noVBand="0"/>
      </w:tblPr>
      <w:tblGrid>
        <w:gridCol w:w="1422"/>
        <w:gridCol w:w="1421"/>
        <w:gridCol w:w="1421"/>
        <w:gridCol w:w="1421"/>
        <w:gridCol w:w="1421"/>
        <w:gridCol w:w="1421"/>
        <w:gridCol w:w="1421"/>
      </w:tblGrid>
      <w:tr w:rsidR="000433CC" w:rsidRPr="008049C2" w14:paraId="2B59199B" w14:textId="77777777" w:rsidTr="008049C2">
        <w:trPr>
          <w:cnfStyle w:val="100000000000" w:firstRow="1" w:lastRow="0" w:firstColumn="0" w:lastColumn="0" w:oddVBand="0" w:evenVBand="0" w:oddHBand="0" w:evenHBand="0" w:firstRowFirstColumn="0" w:firstRowLastColumn="0" w:lastRowFirstColumn="0" w:lastRowLastColumn="0"/>
          <w:trHeight w:val="577"/>
          <w:tblHeader/>
        </w:trPr>
        <w:tc>
          <w:tcPr>
            <w:tcW w:w="1421" w:type="dxa"/>
          </w:tcPr>
          <w:p w14:paraId="5ECE5501"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Evaluation Metric</w:t>
            </w:r>
          </w:p>
        </w:tc>
        <w:tc>
          <w:tcPr>
            <w:tcW w:w="1421" w:type="dxa"/>
          </w:tcPr>
          <w:p w14:paraId="2C9FF536"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1D CFD</w:t>
            </w:r>
          </w:p>
        </w:tc>
        <w:tc>
          <w:tcPr>
            <w:tcW w:w="1421" w:type="dxa"/>
          </w:tcPr>
          <w:p w14:paraId="0F8ED709"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1D PINN</w:t>
            </w:r>
          </w:p>
        </w:tc>
        <w:tc>
          <w:tcPr>
            <w:tcW w:w="1421" w:type="dxa"/>
          </w:tcPr>
          <w:p w14:paraId="75DC338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1D QA-PINN</w:t>
            </w:r>
          </w:p>
        </w:tc>
        <w:tc>
          <w:tcPr>
            <w:tcW w:w="1421" w:type="dxa"/>
          </w:tcPr>
          <w:p w14:paraId="1BB0E7C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3D CFD</w:t>
            </w:r>
          </w:p>
        </w:tc>
        <w:tc>
          <w:tcPr>
            <w:tcW w:w="1421" w:type="dxa"/>
          </w:tcPr>
          <w:p w14:paraId="6CB7B5BF"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3D PINN</w:t>
            </w:r>
          </w:p>
        </w:tc>
        <w:tc>
          <w:tcPr>
            <w:tcW w:w="1421" w:type="dxa"/>
          </w:tcPr>
          <w:p w14:paraId="5EC44A09"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3D QA-PINN</w:t>
            </w:r>
          </w:p>
        </w:tc>
      </w:tr>
      <w:tr w:rsidR="000433CC" w:rsidRPr="008049C2" w14:paraId="4B6286E7" w14:textId="77777777" w:rsidTr="008049C2">
        <w:trPr>
          <w:trHeight w:val="319"/>
        </w:trPr>
        <w:tc>
          <w:tcPr>
            <w:tcW w:w="1421" w:type="dxa"/>
          </w:tcPr>
          <w:p w14:paraId="14381D16"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RMSE</w:t>
            </w:r>
          </w:p>
        </w:tc>
        <w:tc>
          <w:tcPr>
            <w:tcW w:w="1421" w:type="dxa"/>
          </w:tcPr>
          <w:p w14:paraId="47C09D4C"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4.27e-13</w:t>
            </w:r>
          </w:p>
        </w:tc>
        <w:tc>
          <w:tcPr>
            <w:tcW w:w="1421" w:type="dxa"/>
          </w:tcPr>
          <w:p w14:paraId="435F5150"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3.349</w:t>
            </w:r>
          </w:p>
        </w:tc>
        <w:tc>
          <w:tcPr>
            <w:tcW w:w="1421" w:type="dxa"/>
          </w:tcPr>
          <w:p w14:paraId="3ABF48B3"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28.868</w:t>
            </w:r>
          </w:p>
        </w:tc>
        <w:tc>
          <w:tcPr>
            <w:tcW w:w="1421" w:type="dxa"/>
          </w:tcPr>
          <w:p w14:paraId="5754BE50"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0.0984</w:t>
            </w:r>
          </w:p>
        </w:tc>
        <w:tc>
          <w:tcPr>
            <w:tcW w:w="1421" w:type="dxa"/>
          </w:tcPr>
          <w:p w14:paraId="6915E13F"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1.502</w:t>
            </w:r>
          </w:p>
        </w:tc>
        <w:tc>
          <w:tcPr>
            <w:tcW w:w="1421" w:type="dxa"/>
          </w:tcPr>
          <w:p w14:paraId="076F1418"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12.274</w:t>
            </w:r>
          </w:p>
        </w:tc>
      </w:tr>
      <w:tr w:rsidR="000433CC" w:rsidRPr="008049C2" w14:paraId="3FA128B8" w14:textId="77777777" w:rsidTr="008049C2">
        <w:trPr>
          <w:trHeight w:val="319"/>
        </w:trPr>
        <w:tc>
          <w:tcPr>
            <w:tcW w:w="1421" w:type="dxa"/>
          </w:tcPr>
          <w:p w14:paraId="1DDE2FE0"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MAE</w:t>
            </w:r>
          </w:p>
        </w:tc>
        <w:tc>
          <w:tcPr>
            <w:tcW w:w="1421" w:type="dxa"/>
          </w:tcPr>
          <w:p w14:paraId="6FDF63B0"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2.88e-13</w:t>
            </w:r>
          </w:p>
        </w:tc>
        <w:tc>
          <w:tcPr>
            <w:tcW w:w="1421" w:type="dxa"/>
          </w:tcPr>
          <w:p w14:paraId="6800436E"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1.012</w:t>
            </w:r>
          </w:p>
        </w:tc>
        <w:tc>
          <w:tcPr>
            <w:tcW w:w="1421" w:type="dxa"/>
          </w:tcPr>
          <w:p w14:paraId="6D27D3C3"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16.844</w:t>
            </w:r>
          </w:p>
        </w:tc>
        <w:tc>
          <w:tcPr>
            <w:tcW w:w="1421" w:type="dxa"/>
          </w:tcPr>
          <w:p w14:paraId="2BF3C2E6"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0.0200</w:t>
            </w:r>
          </w:p>
        </w:tc>
        <w:tc>
          <w:tcPr>
            <w:tcW w:w="1421" w:type="dxa"/>
          </w:tcPr>
          <w:p w14:paraId="4188AA20"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0.369</w:t>
            </w:r>
          </w:p>
        </w:tc>
        <w:tc>
          <w:tcPr>
            <w:tcW w:w="1421" w:type="dxa"/>
          </w:tcPr>
          <w:p w14:paraId="32F36CC9"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2.992</w:t>
            </w:r>
          </w:p>
        </w:tc>
      </w:tr>
      <w:tr w:rsidR="000433CC" w:rsidRPr="008049C2" w14:paraId="10B9378A" w14:textId="77777777" w:rsidTr="008049C2">
        <w:trPr>
          <w:trHeight w:val="829"/>
        </w:trPr>
        <w:tc>
          <w:tcPr>
            <w:tcW w:w="1421" w:type="dxa"/>
          </w:tcPr>
          <w:p w14:paraId="24A4028C"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Max Absolute Error</w:t>
            </w:r>
          </w:p>
        </w:tc>
        <w:tc>
          <w:tcPr>
            <w:tcW w:w="1421" w:type="dxa"/>
          </w:tcPr>
          <w:p w14:paraId="4302775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2.21e-12</w:t>
            </w:r>
          </w:p>
        </w:tc>
        <w:tc>
          <w:tcPr>
            <w:tcW w:w="1421" w:type="dxa"/>
          </w:tcPr>
          <w:p w14:paraId="50A8630C"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20.255</w:t>
            </w:r>
          </w:p>
        </w:tc>
        <w:tc>
          <w:tcPr>
            <w:tcW w:w="1421" w:type="dxa"/>
          </w:tcPr>
          <w:p w14:paraId="66ECB087"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120.199</w:t>
            </w:r>
          </w:p>
        </w:tc>
        <w:tc>
          <w:tcPr>
            <w:tcW w:w="1421" w:type="dxa"/>
          </w:tcPr>
          <w:p w14:paraId="213D1DD6"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1.5200</w:t>
            </w:r>
          </w:p>
        </w:tc>
        <w:tc>
          <w:tcPr>
            <w:tcW w:w="1421" w:type="dxa"/>
          </w:tcPr>
          <w:p w14:paraId="40AE58B5"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23.428</w:t>
            </w:r>
          </w:p>
        </w:tc>
        <w:tc>
          <w:tcPr>
            <w:tcW w:w="1421" w:type="dxa"/>
          </w:tcPr>
          <w:p w14:paraId="7B8DF9E8"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123.722</w:t>
            </w:r>
          </w:p>
        </w:tc>
      </w:tr>
      <w:tr w:rsidR="000433CC" w:rsidRPr="008049C2" w14:paraId="0CC4E197" w14:textId="77777777" w:rsidTr="008049C2">
        <w:trPr>
          <w:trHeight w:val="577"/>
        </w:trPr>
        <w:tc>
          <w:tcPr>
            <w:tcW w:w="1421" w:type="dxa"/>
          </w:tcPr>
          <w:p w14:paraId="2C945F28"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Relative L2 Error</w:t>
            </w:r>
          </w:p>
        </w:tc>
        <w:tc>
          <w:tcPr>
            <w:tcW w:w="1421" w:type="dxa"/>
          </w:tcPr>
          <w:p w14:paraId="531359F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1.37e-15</w:t>
            </w:r>
          </w:p>
        </w:tc>
        <w:tc>
          <w:tcPr>
            <w:tcW w:w="1421" w:type="dxa"/>
          </w:tcPr>
          <w:p w14:paraId="286E7FA4"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0.0107</w:t>
            </w:r>
          </w:p>
        </w:tc>
        <w:tc>
          <w:tcPr>
            <w:tcW w:w="1421" w:type="dxa"/>
          </w:tcPr>
          <w:p w14:paraId="3223918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0.0927</w:t>
            </w:r>
          </w:p>
        </w:tc>
        <w:tc>
          <w:tcPr>
            <w:tcW w:w="1421" w:type="dxa"/>
          </w:tcPr>
          <w:p w14:paraId="1993489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0.0003</w:t>
            </w:r>
          </w:p>
        </w:tc>
        <w:tc>
          <w:tcPr>
            <w:tcW w:w="1421" w:type="dxa"/>
          </w:tcPr>
          <w:p w14:paraId="4255243F"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0.0049</w:t>
            </w:r>
          </w:p>
        </w:tc>
        <w:tc>
          <w:tcPr>
            <w:tcW w:w="1421" w:type="dxa"/>
          </w:tcPr>
          <w:p w14:paraId="575C58B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0.0405</w:t>
            </w:r>
          </w:p>
        </w:tc>
      </w:tr>
      <w:tr w:rsidR="000433CC" w:rsidRPr="008049C2" w14:paraId="07E5F6D6" w14:textId="77777777" w:rsidTr="008049C2">
        <w:trPr>
          <w:trHeight w:val="571"/>
        </w:trPr>
        <w:tc>
          <w:tcPr>
            <w:tcW w:w="1421" w:type="dxa"/>
          </w:tcPr>
          <w:p w14:paraId="780F27A8"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PDE Residual</w:t>
            </w:r>
          </w:p>
        </w:tc>
        <w:tc>
          <w:tcPr>
            <w:tcW w:w="1421" w:type="dxa"/>
          </w:tcPr>
          <w:p w14:paraId="7871550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0.0001</w:t>
            </w:r>
          </w:p>
        </w:tc>
        <w:tc>
          <w:tcPr>
            <w:tcW w:w="1421" w:type="dxa"/>
          </w:tcPr>
          <w:p w14:paraId="2ED72D08"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0.0183</w:t>
            </w:r>
          </w:p>
        </w:tc>
        <w:tc>
          <w:tcPr>
            <w:tcW w:w="1421" w:type="dxa"/>
          </w:tcPr>
          <w:p w14:paraId="0FE756C3"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0.0315</w:t>
            </w:r>
          </w:p>
        </w:tc>
        <w:tc>
          <w:tcPr>
            <w:tcW w:w="1421" w:type="dxa"/>
          </w:tcPr>
          <w:p w14:paraId="38F83BED"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~0.000</w:t>
            </w:r>
          </w:p>
        </w:tc>
        <w:tc>
          <w:tcPr>
            <w:tcW w:w="1421" w:type="dxa"/>
          </w:tcPr>
          <w:p w14:paraId="261FB8B5"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0.0024</w:t>
            </w:r>
          </w:p>
        </w:tc>
        <w:tc>
          <w:tcPr>
            <w:tcW w:w="1421" w:type="dxa"/>
          </w:tcPr>
          <w:p w14:paraId="29FDC7C7"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0.0287</w:t>
            </w:r>
          </w:p>
        </w:tc>
      </w:tr>
      <w:tr w:rsidR="000433CC" w:rsidRPr="008049C2" w14:paraId="158E499E" w14:textId="77777777" w:rsidTr="008049C2">
        <w:trPr>
          <w:trHeight w:val="829"/>
        </w:trPr>
        <w:tc>
          <w:tcPr>
            <w:tcW w:w="1421" w:type="dxa"/>
          </w:tcPr>
          <w:p w14:paraId="1C3B258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Trainable Parameters</w:t>
            </w:r>
          </w:p>
        </w:tc>
        <w:tc>
          <w:tcPr>
            <w:tcW w:w="1421" w:type="dxa"/>
          </w:tcPr>
          <w:p w14:paraId="241C090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w:t>
            </w:r>
          </w:p>
        </w:tc>
        <w:tc>
          <w:tcPr>
            <w:tcW w:w="1421" w:type="dxa"/>
          </w:tcPr>
          <w:p w14:paraId="62925E74"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66,561</w:t>
            </w:r>
          </w:p>
        </w:tc>
        <w:tc>
          <w:tcPr>
            <w:tcW w:w="1421" w:type="dxa"/>
          </w:tcPr>
          <w:p w14:paraId="243E61F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217</w:t>
            </w:r>
          </w:p>
        </w:tc>
        <w:tc>
          <w:tcPr>
            <w:tcW w:w="1421" w:type="dxa"/>
          </w:tcPr>
          <w:p w14:paraId="0841ABDC"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w:t>
            </w:r>
          </w:p>
        </w:tc>
        <w:tc>
          <w:tcPr>
            <w:tcW w:w="1421" w:type="dxa"/>
          </w:tcPr>
          <w:p w14:paraId="5A6AC9F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26,401</w:t>
            </w:r>
          </w:p>
        </w:tc>
        <w:tc>
          <w:tcPr>
            <w:tcW w:w="1421" w:type="dxa"/>
          </w:tcPr>
          <w:p w14:paraId="4DD23D81"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225</w:t>
            </w:r>
          </w:p>
        </w:tc>
      </w:tr>
      <w:tr w:rsidR="000433CC" w:rsidRPr="008049C2" w14:paraId="7BEDEA81" w14:textId="77777777" w:rsidTr="008049C2">
        <w:trPr>
          <w:trHeight w:val="829"/>
        </w:trPr>
        <w:tc>
          <w:tcPr>
            <w:tcW w:w="1421" w:type="dxa"/>
          </w:tcPr>
          <w:p w14:paraId="0EAAFE61"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b/>
                <w:bCs/>
              </w:rPr>
              <w:t>Memory Footprint (MB)</w:t>
            </w:r>
          </w:p>
        </w:tc>
        <w:tc>
          <w:tcPr>
            <w:tcW w:w="1421" w:type="dxa"/>
          </w:tcPr>
          <w:p w14:paraId="50ED89C2"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0.000</w:t>
            </w:r>
          </w:p>
        </w:tc>
        <w:tc>
          <w:tcPr>
            <w:tcW w:w="1421" w:type="dxa"/>
          </w:tcPr>
          <w:p w14:paraId="43CAABFF"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0.253</w:t>
            </w:r>
          </w:p>
        </w:tc>
        <w:tc>
          <w:tcPr>
            <w:tcW w:w="1421" w:type="dxa"/>
          </w:tcPr>
          <w:p w14:paraId="51352B47"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0.0008</w:t>
            </w:r>
          </w:p>
        </w:tc>
        <w:tc>
          <w:tcPr>
            <w:tcW w:w="1421" w:type="dxa"/>
          </w:tcPr>
          <w:p w14:paraId="7FCA343B"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0.000</w:t>
            </w:r>
          </w:p>
        </w:tc>
        <w:tc>
          <w:tcPr>
            <w:tcW w:w="1421" w:type="dxa"/>
          </w:tcPr>
          <w:p w14:paraId="0B42BBCA"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0.100</w:t>
            </w:r>
          </w:p>
        </w:tc>
        <w:tc>
          <w:tcPr>
            <w:tcW w:w="1421" w:type="dxa"/>
          </w:tcPr>
          <w:p w14:paraId="1A2AEDB5" w14:textId="77777777" w:rsidR="000433CC" w:rsidRPr="008049C2" w:rsidRDefault="00000000">
            <w:pPr>
              <w:pStyle w:val="Compact"/>
              <w:rPr>
                <w:rFonts w:ascii="Times New Roman" w:hAnsi="Times New Roman" w:cs="Times New Roman"/>
              </w:rPr>
            </w:pPr>
            <w:r w:rsidRPr="008049C2">
              <w:rPr>
                <w:rFonts w:ascii="Times New Roman" w:hAnsi="Times New Roman" w:cs="Times New Roman"/>
              </w:rPr>
              <w:t>0.0008</w:t>
            </w:r>
          </w:p>
        </w:tc>
      </w:tr>
    </w:tbl>
    <w:p w14:paraId="714A4814" w14:textId="77777777" w:rsidR="000433CC" w:rsidRPr="008049C2" w:rsidRDefault="00000000">
      <w:pPr>
        <w:pStyle w:val="Heading3"/>
        <w:rPr>
          <w:rFonts w:ascii="Times New Roman" w:hAnsi="Times New Roman" w:cs="Times New Roman"/>
          <w:sz w:val="24"/>
          <w:szCs w:val="24"/>
        </w:rPr>
      </w:pPr>
      <w:bookmarkStart w:id="34" w:name="analysis-of-the-classical-pinn-model-a"/>
      <w:bookmarkEnd w:id="33"/>
      <w:r w:rsidRPr="008049C2">
        <w:rPr>
          <w:rFonts w:ascii="Times New Roman" w:hAnsi="Times New Roman" w:cs="Times New Roman"/>
          <w:sz w:val="24"/>
          <w:szCs w:val="24"/>
        </w:rPr>
        <w:t>9.2 Analysis of the Classical PINN (Model A)</w:t>
      </w:r>
    </w:p>
    <w:p w14:paraId="49BC12CA"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classical PINN, acting as the primary deep learning baseline, demonstrated exceptional predictive fidelity, successfully capturing the underlying thermodynamics of the transient heat equation across all tested dimensions.</w:t>
      </w:r>
    </w:p>
    <w:p w14:paraId="4F299C09"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In the 1D domain, the Classical PINN achieved a Relative L2 Error of just 1.07% (</w:t>
      </w:r>
      <m:oMath>
        <m:r>
          <w:rPr>
            <w:rFonts w:ascii="Cambria Math" w:hAnsi="Cambria Math" w:cs="Times New Roman"/>
          </w:rPr>
          <m:t>0.0107</m:t>
        </m:r>
      </m:oMath>
      <w:r w:rsidRPr="008049C2">
        <w:rPr>
          <w:rFonts w:ascii="Times New Roman" w:hAnsi="Times New Roman" w:cs="Times New Roman"/>
        </w:rPr>
        <w:t xml:space="preserve">), indicating that the predicted temperature manifold closely mirrors the analytical ground truth. The Root Mean Square Error (RMSE) was restricted to </w:t>
      </w:r>
      <m:oMath>
        <m:r>
          <w:rPr>
            <w:rFonts w:ascii="Cambria Math" w:hAnsi="Cambria Math" w:cs="Times New Roman"/>
          </w:rPr>
          <m:t>3.349</m:t>
        </m:r>
      </m:oMath>
      <w:r w:rsidRPr="008049C2">
        <w:rPr>
          <w:rFonts w:ascii="Times New Roman" w:hAnsi="Times New Roman" w:cs="Times New Roman"/>
        </w:rPr>
        <w:t xml:space="preserve"> across a temperature scale of hundreds of degrees, which is a highly acceptable margin for preliminary thermal protection system design. In the 3D domain, performance improved remarkably in terms of relative scaling, achieving a Relative L2 Error of </w:t>
      </w:r>
      <m:oMath>
        <m:r>
          <w:rPr>
            <w:rFonts w:ascii="Cambria Math" w:hAnsi="Cambria Math" w:cs="Times New Roman"/>
          </w:rPr>
          <m:t>0.49</m:t>
        </m:r>
        <m:r>
          <m:rPr>
            <m:sty m:val="p"/>
          </m:rPr>
          <w:rPr>
            <w:rFonts w:ascii="Cambria Math" w:hAnsi="Cambria Math" w:cs="Times New Roman"/>
          </w:rPr>
          <m:t>%</m:t>
        </m:r>
      </m:oMath>
      <w:r w:rsidRPr="008049C2">
        <w:rPr>
          <w:rFonts w:ascii="Times New Roman" w:hAnsi="Times New Roman" w:cs="Times New Roman"/>
        </w:rPr>
        <w:t xml:space="preserve"> (</w:t>
      </w:r>
      <m:oMath>
        <m:r>
          <w:rPr>
            <w:rFonts w:ascii="Cambria Math" w:hAnsi="Cambria Math" w:cs="Times New Roman"/>
          </w:rPr>
          <m:t>0.0049</m:t>
        </m:r>
      </m:oMath>
      <w:r w:rsidRPr="008049C2">
        <w:rPr>
          <w:rFonts w:ascii="Times New Roman" w:hAnsi="Times New Roman" w:cs="Times New Roman"/>
        </w:rPr>
        <w:t>). Furthermore, the network exhibited extremely low PDE residuals (</w:t>
      </w:r>
      <m:oMath>
        <m:r>
          <w:rPr>
            <w:rFonts w:ascii="Cambria Math" w:hAnsi="Cambria Math" w:cs="Times New Roman"/>
          </w:rPr>
          <m:t>0.0183</m:t>
        </m:r>
      </m:oMath>
      <w:r w:rsidRPr="008049C2">
        <w:rPr>
          <w:rFonts w:ascii="Times New Roman" w:hAnsi="Times New Roman" w:cs="Times New Roman"/>
        </w:rPr>
        <w:t xml:space="preserve"> in 1D, and </w:t>
      </w:r>
      <m:oMath>
        <m:r>
          <w:rPr>
            <w:rFonts w:ascii="Cambria Math" w:hAnsi="Cambria Math" w:cs="Times New Roman"/>
          </w:rPr>
          <m:t>0.0024</m:t>
        </m:r>
      </m:oMath>
      <w:r w:rsidRPr="008049C2">
        <w:rPr>
          <w:rFonts w:ascii="Times New Roman" w:hAnsi="Times New Roman" w:cs="Times New Roman"/>
        </w:rPr>
        <w:t xml:space="preserve"> in 3D), confirming that the network has mathematically learned the PDE constraint rather than simply overfitting to initial boundary data.</w:t>
      </w:r>
    </w:p>
    <w:p w14:paraId="0A53D825"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However, this precision comes at a severe computational cost. The 1D model required a massive over-parameterization of </w:t>
      </w:r>
      <w:r w:rsidRPr="008049C2">
        <w:rPr>
          <w:rFonts w:ascii="Times New Roman" w:hAnsi="Times New Roman" w:cs="Times New Roman"/>
          <w:b/>
          <w:bCs/>
        </w:rPr>
        <w:t>66,561 trainable weights and biases</w:t>
      </w:r>
      <w:r w:rsidRPr="008049C2">
        <w:rPr>
          <w:rFonts w:ascii="Times New Roman" w:hAnsi="Times New Roman" w:cs="Times New Roman"/>
        </w:rPr>
        <w:t xml:space="preserve"> (taking up 0.253 MB of VRAM). The 3D model, while slightly optimized in depth, still required </w:t>
      </w:r>
      <w:r w:rsidRPr="008049C2">
        <w:rPr>
          <w:rFonts w:ascii="Times New Roman" w:hAnsi="Times New Roman" w:cs="Times New Roman"/>
          <w:b/>
          <w:bCs/>
        </w:rPr>
        <w:t>26,401 parameters</w:t>
      </w:r>
      <w:r w:rsidRPr="008049C2">
        <w:rPr>
          <w:rFonts w:ascii="Times New Roman" w:hAnsi="Times New Roman" w:cs="Times New Roman"/>
        </w:rPr>
        <w:t xml:space="preserve">. This bloat is </w:t>
      </w:r>
      <w:r w:rsidRPr="008049C2">
        <w:rPr>
          <w:rFonts w:ascii="Times New Roman" w:hAnsi="Times New Roman" w:cs="Times New Roman"/>
        </w:rPr>
        <w:lastRenderedPageBreak/>
        <w:t>a direct manifestation of attempting to overcome the spectral bias; to capture the high-frequency initial condition gradients, the network must be made extraordinarily deep and wide.</w:t>
      </w:r>
    </w:p>
    <w:p w14:paraId="4D97B2DF" w14:textId="77777777" w:rsidR="000433CC" w:rsidRPr="008049C2" w:rsidRDefault="00000000">
      <w:pPr>
        <w:pStyle w:val="Heading3"/>
        <w:rPr>
          <w:rFonts w:ascii="Times New Roman" w:hAnsi="Times New Roman" w:cs="Times New Roman"/>
          <w:sz w:val="24"/>
          <w:szCs w:val="24"/>
        </w:rPr>
      </w:pPr>
      <w:bookmarkStart w:id="35" w:name="analysis-of-the-qa-pinn-model-b"/>
      <w:bookmarkEnd w:id="34"/>
      <w:r w:rsidRPr="008049C2">
        <w:rPr>
          <w:rFonts w:ascii="Times New Roman" w:hAnsi="Times New Roman" w:cs="Times New Roman"/>
          <w:sz w:val="24"/>
          <w:szCs w:val="24"/>
        </w:rPr>
        <w:t>9.3 Analysis of the QA-PINN (Model B)</w:t>
      </w:r>
    </w:p>
    <w:p w14:paraId="4FB5EE07"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Quantum-Assisted PINN yielded a fascinating set of trade-offs, demonstrating extreme parameter efficiency at the cost of localized precision.</w:t>
      </w:r>
    </w:p>
    <w:p w14:paraId="1179544B"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The most striking result of the QA-PINN is its incredibly minimal parameter footprint. By utilizing the angle encoding and strongly entangling layers of the parameterized quantum circuit, the 1D QA-PINN required only </w:t>
      </w:r>
      <w:r w:rsidRPr="008049C2">
        <w:rPr>
          <w:rFonts w:ascii="Times New Roman" w:hAnsi="Times New Roman" w:cs="Times New Roman"/>
          <w:b/>
          <w:bCs/>
        </w:rPr>
        <w:t>217 parameters</w:t>
      </w:r>
      <w:r w:rsidRPr="008049C2">
        <w:rPr>
          <w:rFonts w:ascii="Times New Roman" w:hAnsi="Times New Roman" w:cs="Times New Roman"/>
        </w:rPr>
        <w:t xml:space="preserve"> to train. This represents a </w:t>
      </w:r>
      <w:r w:rsidRPr="008049C2">
        <w:rPr>
          <w:rFonts w:ascii="Times New Roman" w:hAnsi="Times New Roman" w:cs="Times New Roman"/>
          <w:b/>
          <w:bCs/>
        </w:rPr>
        <w:t>99.67% reduction</w:t>
      </w:r>
      <w:r w:rsidRPr="008049C2">
        <w:rPr>
          <w:rFonts w:ascii="Times New Roman" w:hAnsi="Times New Roman" w:cs="Times New Roman"/>
        </w:rPr>
        <w:t xml:space="preserve"> in network size compared to the Classical PINN. In the 3D domain, the QA-PINN required just </w:t>
      </w:r>
      <w:r w:rsidRPr="008049C2">
        <w:rPr>
          <w:rFonts w:ascii="Times New Roman" w:hAnsi="Times New Roman" w:cs="Times New Roman"/>
          <w:b/>
          <w:bCs/>
        </w:rPr>
        <w:t>225 parameters</w:t>
      </w:r>
      <w:r w:rsidRPr="008049C2">
        <w:rPr>
          <w:rFonts w:ascii="Times New Roman" w:hAnsi="Times New Roman" w:cs="Times New Roman"/>
        </w:rPr>
        <w:t xml:space="preserve">, representing a </w:t>
      </w:r>
      <w:r w:rsidRPr="008049C2">
        <w:rPr>
          <w:rFonts w:ascii="Times New Roman" w:hAnsi="Times New Roman" w:cs="Times New Roman"/>
          <w:b/>
          <w:bCs/>
        </w:rPr>
        <w:t>99.14% reduction</w:t>
      </w:r>
      <w:r w:rsidRPr="008049C2">
        <w:rPr>
          <w:rFonts w:ascii="Times New Roman" w:hAnsi="Times New Roman" w:cs="Times New Roman"/>
        </w:rPr>
        <w:t>.</w:t>
      </w:r>
    </w:p>
    <w:p w14:paraId="76A37B3D"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However, this unprecedented compression ratio resulted in a discernible accuracy penalty, particularly when dealing with sharp, localized temperature gradients. In the 1D domain, the RMSE degraded by nearly a factor of 9 (from </w:t>
      </w:r>
      <m:oMath>
        <m:r>
          <w:rPr>
            <w:rFonts w:ascii="Cambria Math" w:hAnsi="Cambria Math" w:cs="Times New Roman"/>
          </w:rPr>
          <m:t>3.349</m:t>
        </m:r>
      </m:oMath>
      <w:r w:rsidRPr="008049C2">
        <w:rPr>
          <w:rFonts w:ascii="Times New Roman" w:hAnsi="Times New Roman" w:cs="Times New Roman"/>
        </w:rPr>
        <w:t xml:space="preserve"> to </w:t>
      </w:r>
      <m:oMath>
        <m:r>
          <w:rPr>
            <w:rFonts w:ascii="Cambria Math" w:hAnsi="Cambria Math" w:cs="Times New Roman"/>
          </w:rPr>
          <m:t>28.868</m:t>
        </m:r>
      </m:oMath>
      <w:r w:rsidRPr="008049C2">
        <w:rPr>
          <w:rFonts w:ascii="Times New Roman" w:hAnsi="Times New Roman" w:cs="Times New Roman"/>
        </w:rPr>
        <w:t xml:space="preserve">), and the Max Absolute Error spiked to </w:t>
      </w:r>
      <m:oMath>
        <m:r>
          <w:rPr>
            <w:rFonts w:ascii="Cambria Math" w:hAnsi="Cambria Math" w:cs="Times New Roman"/>
          </w:rPr>
          <m:t>120.199</m:t>
        </m:r>
      </m:oMath>
      <w:r w:rsidRPr="008049C2">
        <w:rPr>
          <w:rFonts w:ascii="Times New Roman" w:hAnsi="Times New Roman" w:cs="Times New Roman"/>
        </w:rPr>
        <w:t xml:space="preserve">. In the 3D domain, the RMSE similarly degraded to </w:t>
      </w:r>
      <m:oMath>
        <m:r>
          <w:rPr>
            <w:rFonts w:ascii="Cambria Math" w:hAnsi="Cambria Math" w:cs="Times New Roman"/>
          </w:rPr>
          <m:t>12.274</m:t>
        </m:r>
      </m:oMath>
      <w:r w:rsidRPr="008049C2">
        <w:rPr>
          <w:rFonts w:ascii="Times New Roman" w:hAnsi="Times New Roman" w:cs="Times New Roman"/>
        </w:rPr>
        <w:t xml:space="preserve">, with a Relative L2 Error of </w:t>
      </w:r>
      <m:oMath>
        <m:r>
          <w:rPr>
            <w:rFonts w:ascii="Cambria Math" w:hAnsi="Cambria Math" w:cs="Times New Roman"/>
          </w:rPr>
          <m:t>4.05</m:t>
        </m:r>
        <m:r>
          <m:rPr>
            <m:sty m:val="p"/>
          </m:rPr>
          <w:rPr>
            <w:rFonts w:ascii="Cambria Math" w:hAnsi="Cambria Math" w:cs="Times New Roman"/>
          </w:rPr>
          <m:t>%</m:t>
        </m:r>
      </m:oMath>
      <w:r w:rsidRPr="008049C2">
        <w:rPr>
          <w:rFonts w:ascii="Times New Roman" w:hAnsi="Times New Roman" w:cs="Times New Roman"/>
        </w:rPr>
        <w:t xml:space="preserve"> (compared to the classical </w:t>
      </w:r>
      <m:oMath>
        <m:r>
          <w:rPr>
            <w:rFonts w:ascii="Cambria Math" w:hAnsi="Cambria Math" w:cs="Times New Roman"/>
          </w:rPr>
          <m:t>0.49</m:t>
        </m:r>
        <m:r>
          <m:rPr>
            <m:sty m:val="p"/>
          </m:rPr>
          <w:rPr>
            <w:rFonts w:ascii="Cambria Math" w:hAnsi="Cambria Math" w:cs="Times New Roman"/>
          </w:rPr>
          <m:t>%</m:t>
        </m:r>
      </m:oMath>
      <w:r w:rsidRPr="008049C2">
        <w:rPr>
          <w:rFonts w:ascii="Times New Roman" w:hAnsi="Times New Roman" w:cs="Times New Roman"/>
        </w:rPr>
        <w:t>).</w:t>
      </w:r>
    </w:p>
    <w:p w14:paraId="78BBC3A0" w14:textId="77777777" w:rsidR="000433CC" w:rsidRPr="008049C2" w:rsidRDefault="00000000">
      <w:pPr>
        <w:pStyle w:val="Heading3"/>
        <w:rPr>
          <w:rFonts w:ascii="Times New Roman" w:hAnsi="Times New Roman" w:cs="Times New Roman"/>
          <w:sz w:val="24"/>
          <w:szCs w:val="24"/>
        </w:rPr>
      </w:pPr>
      <w:bookmarkStart w:id="36" w:name="Xb7b82fc36147322867a56f4e990fbc5ef4f14d1"/>
      <w:bookmarkEnd w:id="35"/>
      <w:r w:rsidRPr="008049C2">
        <w:rPr>
          <w:rFonts w:ascii="Times New Roman" w:hAnsi="Times New Roman" w:cs="Times New Roman"/>
          <w:sz w:val="24"/>
          <w:szCs w:val="24"/>
        </w:rPr>
        <w:t>9.4 Interpreting the Quantum Trade-off: Global vs Local Fidelity</w:t>
      </w:r>
    </w:p>
    <w:p w14:paraId="564CC3B0"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evaluation metrics indicate a phenomenon we term the “quantum smoothing effect.” Because the QA-PINN is fundamentally restricted to the specific Fourier series generated by its encoding gates, it acts as a highly efficient low-pass and band-pass filter.</w:t>
      </w:r>
    </w:p>
    <w:p w14:paraId="59FC2CCC"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 xml:space="preserve">When visualizing the QA-PINN predictions, it successfully captures the macro-level, global temperature distribution and the broad direction of thermal flux perfectly. It inherently understands the physics of diffusion. However, when the Stainless Steel 304 material (which has an incredibly low thermal diffusivity </w:t>
      </w:r>
      <m:oMath>
        <m:r>
          <w:rPr>
            <w:rFonts w:ascii="Cambria Math" w:hAnsi="Cambria Math" w:cs="Times New Roman"/>
          </w:rPr>
          <m:t>α</m:t>
        </m:r>
      </m:oMath>
      <w:r w:rsidRPr="008049C2">
        <w:rPr>
          <w:rFonts w:ascii="Times New Roman" w:hAnsi="Times New Roman" w:cs="Times New Roman"/>
        </w:rPr>
        <w:t>) forces the preservation of sharp, near-discontinuous thermal shocks at the boundaries, the QA-PINN’s limited Fourier basis cannot resolve the high-frequency spike, resulting in large Max Absolute Errors precisely at those boundary locations. In contrast, the massively over-parameterized classical PINN can contort its thousands of weights to fit that sharp gradient.</w:t>
      </w:r>
    </w:p>
    <w:p w14:paraId="3A4F8399"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Thus, QA-PINNs are highly suited for constrained environments (e.g., edge computing on satellites or UAVs) where a 4% error margin is acceptable in exchange for a model that is 99% smaller.</w:t>
      </w:r>
    </w:p>
    <w:p w14:paraId="1778573B"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43BFDF66">
          <v:rect id="_x0000_i2309" style="width:0;height:1.5pt" o:hralign="center" o:hrstd="t" o:hr="t"/>
        </w:pict>
      </w:r>
    </w:p>
    <w:p w14:paraId="7EB73351" w14:textId="77777777" w:rsidR="000433CC" w:rsidRPr="008049C2" w:rsidRDefault="00000000">
      <w:pPr>
        <w:pStyle w:val="Heading2"/>
        <w:rPr>
          <w:rFonts w:ascii="Times New Roman" w:hAnsi="Times New Roman" w:cs="Times New Roman"/>
          <w:sz w:val="24"/>
          <w:szCs w:val="24"/>
        </w:rPr>
      </w:pPr>
      <w:bookmarkStart w:id="37" w:name="Xf17236981ed35fdd802115456dda27b570ceb02"/>
      <w:bookmarkEnd w:id="32"/>
      <w:bookmarkEnd w:id="36"/>
      <w:r w:rsidRPr="008049C2">
        <w:rPr>
          <w:rFonts w:ascii="Times New Roman" w:hAnsi="Times New Roman" w:cs="Times New Roman"/>
          <w:sz w:val="24"/>
          <w:szCs w:val="24"/>
        </w:rPr>
        <w:t>10. Visual Analysis and PINN vs QA-PINN Comparison</w:t>
      </w:r>
    </w:p>
    <w:p w14:paraId="5538B62B"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To empirically analyze the differences between classical PINNs and QA-PINNs, we visualize their respective temperature fields against the exact analytical solution and CFD baseline. The visualizations below encompass 1D, 2D, and 3D domain outputs for Tungsten, highlighting both performance and spectral bias.</w:t>
      </w:r>
    </w:p>
    <w:p w14:paraId="7BB16051" w14:textId="77777777" w:rsidR="000433CC" w:rsidRPr="008049C2" w:rsidRDefault="00000000">
      <w:pPr>
        <w:pStyle w:val="Heading3"/>
        <w:rPr>
          <w:rFonts w:ascii="Times New Roman" w:hAnsi="Times New Roman" w:cs="Times New Roman"/>
          <w:sz w:val="24"/>
          <w:szCs w:val="24"/>
        </w:rPr>
      </w:pPr>
      <w:bookmarkStart w:id="38" w:name="d-heat-conduction-comparison"/>
      <w:r w:rsidRPr="008049C2">
        <w:rPr>
          <w:rFonts w:ascii="Times New Roman" w:hAnsi="Times New Roman" w:cs="Times New Roman"/>
          <w:sz w:val="24"/>
          <w:szCs w:val="24"/>
        </w:rPr>
        <w:lastRenderedPageBreak/>
        <w:t>10.1 1D Heat Conduction Comparison</w:t>
      </w:r>
    </w:p>
    <w:p w14:paraId="5EC8F551"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1D comparison illustrates the stark difference in parameter utilization. The classical PINN smoothly descends the loss landscape but requires tens of thousands of parameters. The QA-PINN utilizes less than 1% of the parameters and naturally represents the Fourier spectrum, effectively capturing the macro-level temperature distribution despite higher localized errors.</w:t>
      </w:r>
    </w:p>
    <w:p w14:paraId="5E7801DC"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Comparison Heat Map:</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32EA22E6" wp14:editId="5B499909">
            <wp:extent cx="5334000" cy="1066800"/>
            <wp:effectExtent l="0" t="0" r="0" b="0"/>
            <wp:docPr id="58" name="Picture" descr="1D Heat Map Comparison"/>
            <wp:cNvGraphicFramePr/>
            <a:graphic xmlns:a="http://schemas.openxmlformats.org/drawingml/2006/main">
              <a:graphicData uri="http://schemas.openxmlformats.org/drawingml/2006/picture">
                <pic:pic xmlns:pic="http://schemas.openxmlformats.org/drawingml/2006/picture">
                  <pic:nvPicPr>
                    <pic:cNvPr id="59" name="Picture" descr="E:/Quan/project/outputs/current_output/tungsten_ALL_2026-08-07_22-48-23/Comparison/1D/Heat%20Map%20Comparison%20(1D).png"/>
                    <pic:cNvPicPr>
                      <a:picLocks noChangeAspect="1" noChangeArrowheads="1"/>
                    </pic:cNvPicPr>
                  </pic:nvPicPr>
                  <pic:blipFill>
                    <a:blip r:embed="rId8"/>
                    <a:stretch>
                      <a:fillRect/>
                    </a:stretch>
                  </pic:blipFill>
                  <pic:spPr bwMode="auto">
                    <a:xfrm>
                      <a:off x="0" y="0"/>
                      <a:ext cx="5334000" cy="1066800"/>
                    </a:xfrm>
                    <a:prstGeom prst="rect">
                      <a:avLst/>
                    </a:prstGeom>
                    <a:noFill/>
                    <a:ln w="9525">
                      <a:noFill/>
                      <a:headEnd/>
                      <a:tailEnd/>
                    </a:ln>
                  </pic:spPr>
                </pic:pic>
              </a:graphicData>
            </a:graphic>
          </wp:inline>
        </w:drawing>
      </w:r>
    </w:p>
    <w:p w14:paraId="3CEC422B"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Classical PINN Solution Snapshot:</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3180D30D" wp14:editId="362D58F7">
            <wp:extent cx="5334000" cy="1333500"/>
            <wp:effectExtent l="0" t="0" r="0" b="0"/>
            <wp:docPr id="61" name="Picture" descr="1D PINN Snapshots"/>
            <wp:cNvGraphicFramePr/>
            <a:graphic xmlns:a="http://schemas.openxmlformats.org/drawingml/2006/main">
              <a:graphicData uri="http://schemas.openxmlformats.org/drawingml/2006/picture">
                <pic:pic xmlns:pic="http://schemas.openxmlformats.org/drawingml/2006/picture">
                  <pic:nvPicPr>
                    <pic:cNvPr id="62" name="Picture" descr="E:/Quan/project/outputs/current_output/tungsten_ALL_2026-08-07_22-48-23/PINN/1D/solution_snapshots.png"/>
                    <pic:cNvPicPr>
                      <a:picLocks noChangeAspect="1" noChangeArrowheads="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p w14:paraId="4EB33F04"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QA-PINN Solution Snapshot:</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04BABAE6" wp14:editId="0AA0C1C1">
            <wp:extent cx="5334000" cy="1333500"/>
            <wp:effectExtent l="0" t="0" r="0" b="0"/>
            <wp:docPr id="64" name="Picture" descr="1D QA-PINN Snapshots"/>
            <wp:cNvGraphicFramePr/>
            <a:graphic xmlns:a="http://schemas.openxmlformats.org/drawingml/2006/main">
              <a:graphicData uri="http://schemas.openxmlformats.org/drawingml/2006/picture">
                <pic:pic xmlns:pic="http://schemas.openxmlformats.org/drawingml/2006/picture">
                  <pic:nvPicPr>
                    <pic:cNvPr id="65" name="Picture" descr="E:/Quan/project/outputs/current_output/tungsten_ALL_2026-08-07_22-48-23/QA-PINN/1D/solution_snapshots.png"/>
                    <pic:cNvPicPr>
                      <a:picLocks noChangeAspect="1" noChangeArrowheads="1"/>
                    </pic:cNvPicPr>
                  </pic:nvPicPr>
                  <pic:blipFill>
                    <a:blip r:embed="rId10"/>
                    <a:stretch>
                      <a:fillRect/>
                    </a:stretch>
                  </pic:blipFill>
                  <pic:spPr bwMode="auto">
                    <a:xfrm>
                      <a:off x="0" y="0"/>
                      <a:ext cx="5334000" cy="1333500"/>
                    </a:xfrm>
                    <a:prstGeom prst="rect">
                      <a:avLst/>
                    </a:prstGeom>
                    <a:noFill/>
                    <a:ln w="9525">
                      <a:noFill/>
                      <a:headEnd/>
                      <a:tailEnd/>
                    </a:ln>
                  </pic:spPr>
                </pic:pic>
              </a:graphicData>
            </a:graphic>
          </wp:inline>
        </w:drawing>
      </w:r>
    </w:p>
    <w:p w14:paraId="4D855CA9" w14:textId="77777777" w:rsidR="000433CC" w:rsidRPr="008049C2" w:rsidRDefault="00000000">
      <w:pPr>
        <w:pStyle w:val="Heading3"/>
        <w:rPr>
          <w:rFonts w:ascii="Times New Roman" w:hAnsi="Times New Roman" w:cs="Times New Roman"/>
          <w:sz w:val="24"/>
          <w:szCs w:val="24"/>
        </w:rPr>
      </w:pPr>
      <w:bookmarkStart w:id="39" w:name="d-heat-conduction-comparison-1"/>
      <w:bookmarkEnd w:id="38"/>
      <w:r w:rsidRPr="008049C2">
        <w:rPr>
          <w:rFonts w:ascii="Times New Roman" w:hAnsi="Times New Roman" w:cs="Times New Roman"/>
          <w:sz w:val="24"/>
          <w:szCs w:val="24"/>
        </w:rPr>
        <w:t>10.2 2D Heat Conduction Comparison</w:t>
      </w:r>
    </w:p>
    <w:p w14:paraId="1040A1EE"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In the 2D domain, the QA-PINN’s extreme lightweight profile struggles slightly with the sharpest gradients but successfully identifies the broader spatial propagation of heat across the domain over time.</w:t>
      </w:r>
    </w:p>
    <w:p w14:paraId="1A90D578"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Start of Simulation:</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5435C56E" wp14:editId="2DE3EF45">
            <wp:extent cx="5334000" cy="1066800"/>
            <wp:effectExtent l="0" t="0" r="0" b="0"/>
            <wp:docPr id="68" name="Picture" descr="2D Start Heat Map Comparison"/>
            <wp:cNvGraphicFramePr/>
            <a:graphic xmlns:a="http://schemas.openxmlformats.org/drawingml/2006/main">
              <a:graphicData uri="http://schemas.openxmlformats.org/drawingml/2006/picture">
                <pic:pic xmlns:pic="http://schemas.openxmlformats.org/drawingml/2006/picture">
                  <pic:nvPicPr>
                    <pic:cNvPr id="69" name="Picture" descr="E:/Quan/project/outputs/current_output/tungsten_ALL_2026-08-07_22-48-23/Comparison/2D/Heat%20Map%20Comparison%20(Start).png"/>
                    <pic:cNvPicPr>
                      <a:picLocks noChangeAspect="1" noChangeArrowheads="1"/>
                    </pic:cNvPicPr>
                  </pic:nvPicPr>
                  <pic:blipFill>
                    <a:blip r:embed="rId11"/>
                    <a:stretch>
                      <a:fillRect/>
                    </a:stretch>
                  </pic:blipFill>
                  <pic:spPr bwMode="auto">
                    <a:xfrm>
                      <a:off x="0" y="0"/>
                      <a:ext cx="5334000" cy="1066800"/>
                    </a:xfrm>
                    <a:prstGeom prst="rect">
                      <a:avLst/>
                    </a:prstGeom>
                    <a:noFill/>
                    <a:ln w="9525">
                      <a:noFill/>
                      <a:headEnd/>
                      <a:tailEnd/>
                    </a:ln>
                  </pic:spPr>
                </pic:pic>
              </a:graphicData>
            </a:graphic>
          </wp:inline>
        </w:drawing>
      </w:r>
    </w:p>
    <w:p w14:paraId="415A244D"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lastRenderedPageBreak/>
        <w:t>Middle of Simulation:</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1C5EE988" wp14:editId="0031DA7B">
            <wp:extent cx="5334000" cy="1066800"/>
            <wp:effectExtent l="0" t="0" r="0" b="0"/>
            <wp:docPr id="71" name="Picture" descr="2D Middle Heat Map Comparison"/>
            <wp:cNvGraphicFramePr/>
            <a:graphic xmlns:a="http://schemas.openxmlformats.org/drawingml/2006/main">
              <a:graphicData uri="http://schemas.openxmlformats.org/drawingml/2006/picture">
                <pic:pic xmlns:pic="http://schemas.openxmlformats.org/drawingml/2006/picture">
                  <pic:nvPicPr>
                    <pic:cNvPr id="72" name="Picture" descr="E:/Quan/project/outputs/current_output/tungsten_ALL_2026-08-07_22-48-23/Comparison/2D/Heat%20Map%20Comparison%20(Middle).png"/>
                    <pic:cNvPicPr>
                      <a:picLocks noChangeAspect="1" noChangeArrowheads="1"/>
                    </pic:cNvPicPr>
                  </pic:nvPicPr>
                  <pic:blipFill>
                    <a:blip r:embed="rId12"/>
                    <a:stretch>
                      <a:fillRect/>
                    </a:stretch>
                  </pic:blipFill>
                  <pic:spPr bwMode="auto">
                    <a:xfrm>
                      <a:off x="0" y="0"/>
                      <a:ext cx="5334000" cy="1066800"/>
                    </a:xfrm>
                    <a:prstGeom prst="rect">
                      <a:avLst/>
                    </a:prstGeom>
                    <a:noFill/>
                    <a:ln w="9525">
                      <a:noFill/>
                      <a:headEnd/>
                      <a:tailEnd/>
                    </a:ln>
                  </pic:spPr>
                </pic:pic>
              </a:graphicData>
            </a:graphic>
          </wp:inline>
        </w:drawing>
      </w:r>
    </w:p>
    <w:p w14:paraId="3A2F714B"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End of Simulation:</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13974C85" wp14:editId="2E5F47C3">
            <wp:extent cx="5334000" cy="1066800"/>
            <wp:effectExtent l="0" t="0" r="0" b="0"/>
            <wp:docPr id="74" name="Picture" descr="2D End Heat Map Comparison"/>
            <wp:cNvGraphicFramePr/>
            <a:graphic xmlns:a="http://schemas.openxmlformats.org/drawingml/2006/main">
              <a:graphicData uri="http://schemas.openxmlformats.org/drawingml/2006/picture">
                <pic:pic xmlns:pic="http://schemas.openxmlformats.org/drawingml/2006/picture">
                  <pic:nvPicPr>
                    <pic:cNvPr id="75" name="Picture" descr="E:/Quan/project/outputs/current_output/tungsten_ALL_2026-08-07_22-48-23/Comparison/2D/Heat%20Map%20Comparison%20(End).png"/>
                    <pic:cNvPicPr>
                      <a:picLocks noChangeAspect="1" noChangeArrowheads="1"/>
                    </pic:cNvPicPr>
                  </pic:nvPicPr>
                  <pic:blipFill>
                    <a:blip r:embed="rId13"/>
                    <a:stretch>
                      <a:fillRect/>
                    </a:stretch>
                  </pic:blipFill>
                  <pic:spPr bwMode="auto">
                    <a:xfrm>
                      <a:off x="0" y="0"/>
                      <a:ext cx="5334000" cy="1066800"/>
                    </a:xfrm>
                    <a:prstGeom prst="rect">
                      <a:avLst/>
                    </a:prstGeom>
                    <a:noFill/>
                    <a:ln w="9525">
                      <a:noFill/>
                      <a:headEnd/>
                      <a:tailEnd/>
                    </a:ln>
                  </pic:spPr>
                </pic:pic>
              </a:graphicData>
            </a:graphic>
          </wp:inline>
        </w:drawing>
      </w:r>
    </w:p>
    <w:p w14:paraId="491A237C"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Classical PINN Solution Snapshot:</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1850C396" wp14:editId="6D6C22F0">
            <wp:extent cx="5334000" cy="1333500"/>
            <wp:effectExtent l="0" t="0" r="0" b="0"/>
            <wp:docPr id="77" name="Picture" descr="2D PINN Snapshots"/>
            <wp:cNvGraphicFramePr/>
            <a:graphic xmlns:a="http://schemas.openxmlformats.org/drawingml/2006/main">
              <a:graphicData uri="http://schemas.openxmlformats.org/drawingml/2006/picture">
                <pic:pic xmlns:pic="http://schemas.openxmlformats.org/drawingml/2006/picture">
                  <pic:nvPicPr>
                    <pic:cNvPr id="78" name="Picture" descr="E:/Quan/project/outputs/current_output/tungsten_ALL_2026-08-07_22-48-23/PINN/2D/solution_snapshots.png"/>
                    <pic:cNvPicPr>
                      <a:picLocks noChangeAspect="1" noChangeArrowheads="1"/>
                    </pic:cNvPicPr>
                  </pic:nvPicPr>
                  <pic:blipFill>
                    <a:blip r:embed="rId14"/>
                    <a:stretch>
                      <a:fillRect/>
                    </a:stretch>
                  </pic:blipFill>
                  <pic:spPr bwMode="auto">
                    <a:xfrm>
                      <a:off x="0" y="0"/>
                      <a:ext cx="5334000" cy="1333500"/>
                    </a:xfrm>
                    <a:prstGeom prst="rect">
                      <a:avLst/>
                    </a:prstGeom>
                    <a:noFill/>
                    <a:ln w="9525">
                      <a:noFill/>
                      <a:headEnd/>
                      <a:tailEnd/>
                    </a:ln>
                  </pic:spPr>
                </pic:pic>
              </a:graphicData>
            </a:graphic>
          </wp:inline>
        </w:drawing>
      </w:r>
    </w:p>
    <w:p w14:paraId="0AD032B4"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QA-PINN Solution Snapshot:</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68853C08" wp14:editId="5A5D0002">
            <wp:extent cx="5334000" cy="1333500"/>
            <wp:effectExtent l="0" t="0" r="0" b="0"/>
            <wp:docPr id="80" name="Picture" descr="2D QA-PINN Snapshots"/>
            <wp:cNvGraphicFramePr/>
            <a:graphic xmlns:a="http://schemas.openxmlformats.org/drawingml/2006/main">
              <a:graphicData uri="http://schemas.openxmlformats.org/drawingml/2006/picture">
                <pic:pic xmlns:pic="http://schemas.openxmlformats.org/drawingml/2006/picture">
                  <pic:nvPicPr>
                    <pic:cNvPr id="81" name="Picture" descr="E:/Quan/project/outputs/current_output/tungsten_ALL_2026-08-07_22-48-23/QA-PINN/2D/solution_snapshots.png"/>
                    <pic:cNvPicPr>
                      <a:picLocks noChangeAspect="1" noChangeArrowheads="1"/>
                    </pic:cNvPicPr>
                  </pic:nvPicPr>
                  <pic:blipFill>
                    <a:blip r:embed="rId15"/>
                    <a:stretch>
                      <a:fillRect/>
                    </a:stretch>
                  </pic:blipFill>
                  <pic:spPr bwMode="auto">
                    <a:xfrm>
                      <a:off x="0" y="0"/>
                      <a:ext cx="5334000" cy="1333500"/>
                    </a:xfrm>
                    <a:prstGeom prst="rect">
                      <a:avLst/>
                    </a:prstGeom>
                    <a:noFill/>
                    <a:ln w="9525">
                      <a:noFill/>
                      <a:headEnd/>
                      <a:tailEnd/>
                    </a:ln>
                  </pic:spPr>
                </pic:pic>
              </a:graphicData>
            </a:graphic>
          </wp:inline>
        </w:drawing>
      </w:r>
    </w:p>
    <w:p w14:paraId="7035D105" w14:textId="77777777" w:rsidR="000433CC" w:rsidRPr="008049C2" w:rsidRDefault="00000000">
      <w:pPr>
        <w:pStyle w:val="Heading3"/>
        <w:rPr>
          <w:rFonts w:ascii="Times New Roman" w:hAnsi="Times New Roman" w:cs="Times New Roman"/>
          <w:sz w:val="24"/>
          <w:szCs w:val="24"/>
        </w:rPr>
      </w:pPr>
      <w:bookmarkStart w:id="40" w:name="d-heat-conduction-comparison-2"/>
      <w:bookmarkEnd w:id="39"/>
      <w:r w:rsidRPr="008049C2">
        <w:rPr>
          <w:rFonts w:ascii="Times New Roman" w:hAnsi="Times New Roman" w:cs="Times New Roman"/>
          <w:sz w:val="24"/>
          <w:szCs w:val="24"/>
        </w:rPr>
        <w:t>10.3 3D Heat Conduction Comparison</w:t>
      </w:r>
    </w:p>
    <w:p w14:paraId="5BA09E68"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In 3D, the QA-PINN uniquely avoids the classical curse of dimensionality by leveraging the dense expressivity of its quantum Hilbert space, completing simulations that would otherwise necessitate an exponential parameter increase in classical MLPs.</w:t>
      </w:r>
    </w:p>
    <w:p w14:paraId="3BE9E3B5"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3D Slice Comparison:</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3CD6254B" wp14:editId="7E617C8B">
            <wp:extent cx="5334000" cy="1066800"/>
            <wp:effectExtent l="0" t="0" r="0" b="0"/>
            <wp:docPr id="84" name="Picture" descr="3D Slice Comparison"/>
            <wp:cNvGraphicFramePr/>
            <a:graphic xmlns:a="http://schemas.openxmlformats.org/drawingml/2006/main">
              <a:graphicData uri="http://schemas.openxmlformats.org/drawingml/2006/picture">
                <pic:pic xmlns:pic="http://schemas.openxmlformats.org/drawingml/2006/picture">
                  <pic:nvPicPr>
                    <pic:cNvPr id="85" name="Picture" descr="E:/Quan/project/outputs/current_output/tungsten_ALL_2026-08-07_22-48-23/Comparison/3D/Slice%20Heat%20Map%20Comparison.png"/>
                    <pic:cNvPicPr>
                      <a:picLocks noChangeAspect="1" noChangeArrowheads="1"/>
                    </pic:cNvPicPr>
                  </pic:nvPicPr>
                  <pic:blipFill>
                    <a:blip r:embed="rId16"/>
                    <a:stretch>
                      <a:fillRect/>
                    </a:stretch>
                  </pic:blipFill>
                  <pic:spPr bwMode="auto">
                    <a:xfrm>
                      <a:off x="0" y="0"/>
                      <a:ext cx="5334000" cy="1066800"/>
                    </a:xfrm>
                    <a:prstGeom prst="rect">
                      <a:avLst/>
                    </a:prstGeom>
                    <a:noFill/>
                    <a:ln w="9525">
                      <a:noFill/>
                      <a:headEnd/>
                      <a:tailEnd/>
                    </a:ln>
                  </pic:spPr>
                </pic:pic>
              </a:graphicData>
            </a:graphic>
          </wp:inline>
        </w:drawing>
      </w:r>
    </w:p>
    <w:p w14:paraId="16D16E20"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lastRenderedPageBreak/>
        <w:t>3D Surface Comparison:</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7CF3D994" wp14:editId="784B1531">
            <wp:extent cx="4566714" cy="1321387"/>
            <wp:effectExtent l="0" t="0" r="0" b="0"/>
            <wp:docPr id="87" name="Picture" descr="3D Surface Comparison"/>
            <wp:cNvGraphicFramePr/>
            <a:graphic xmlns:a="http://schemas.openxmlformats.org/drawingml/2006/main">
              <a:graphicData uri="http://schemas.openxmlformats.org/drawingml/2006/picture">
                <pic:pic xmlns:pic="http://schemas.openxmlformats.org/drawingml/2006/picture">
                  <pic:nvPicPr>
                    <pic:cNvPr id="88" name="Picture" descr="E:/Quan/project/outputs/current_output/tungsten_ALL_2026-08-07_22-48-23/Comparison/3D/Surface%20Heat%20Map%20Comparison.png"/>
                    <pic:cNvPicPr>
                      <a:picLocks noChangeAspect="1" noChangeArrowheads="1"/>
                    </pic:cNvPicPr>
                  </pic:nvPicPr>
                  <pic:blipFill>
                    <a:blip r:embed="rId17"/>
                    <a:stretch>
                      <a:fillRect/>
                    </a:stretch>
                  </pic:blipFill>
                  <pic:spPr bwMode="auto">
                    <a:xfrm>
                      <a:off x="0" y="0"/>
                      <a:ext cx="4581377" cy="1325630"/>
                    </a:xfrm>
                    <a:prstGeom prst="rect">
                      <a:avLst/>
                    </a:prstGeom>
                    <a:noFill/>
                    <a:ln w="9525">
                      <a:noFill/>
                      <a:headEnd/>
                      <a:tailEnd/>
                    </a:ln>
                  </pic:spPr>
                </pic:pic>
              </a:graphicData>
            </a:graphic>
          </wp:inline>
        </w:drawing>
      </w:r>
    </w:p>
    <w:p w14:paraId="7B7A6D28"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3D Panel Comparison:</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369FD4E1" wp14:editId="2DBBBA58">
            <wp:extent cx="6024623" cy="1602740"/>
            <wp:effectExtent l="0" t="0" r="0" b="0"/>
            <wp:docPr id="90" name="Picture" descr="3D Panel Comparison"/>
            <wp:cNvGraphicFramePr/>
            <a:graphic xmlns:a="http://schemas.openxmlformats.org/drawingml/2006/main">
              <a:graphicData uri="http://schemas.openxmlformats.org/drawingml/2006/picture">
                <pic:pic xmlns:pic="http://schemas.openxmlformats.org/drawingml/2006/picture">
                  <pic:nvPicPr>
                    <pic:cNvPr id="91" name="Picture" descr="E:/Quan/project/outputs/current_output/tungsten_ALL_2026-08-07_22-48-23/Comparison/3D/Panel%20Heat%20Map%20Comparison.png"/>
                    <pic:cNvPicPr>
                      <a:picLocks noChangeAspect="1" noChangeArrowheads="1"/>
                    </pic:cNvPicPr>
                  </pic:nvPicPr>
                  <pic:blipFill>
                    <a:blip r:embed="rId18"/>
                    <a:stretch>
                      <a:fillRect/>
                    </a:stretch>
                  </pic:blipFill>
                  <pic:spPr bwMode="auto">
                    <a:xfrm>
                      <a:off x="0" y="0"/>
                      <a:ext cx="6071074" cy="1615097"/>
                    </a:xfrm>
                    <a:prstGeom prst="rect">
                      <a:avLst/>
                    </a:prstGeom>
                    <a:noFill/>
                    <a:ln w="9525">
                      <a:noFill/>
                      <a:headEnd/>
                      <a:tailEnd/>
                    </a:ln>
                  </pic:spPr>
                </pic:pic>
              </a:graphicData>
            </a:graphic>
          </wp:inline>
        </w:drawing>
      </w:r>
    </w:p>
    <w:p w14:paraId="22BA85D4"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Classical PINN Solution Snapshot:</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734D43AB" wp14:editId="77213574">
            <wp:extent cx="5334000" cy="1321387"/>
            <wp:effectExtent l="0" t="0" r="0" b="0"/>
            <wp:docPr id="93" name="Picture" descr="3D PINN Snapshots"/>
            <wp:cNvGraphicFramePr/>
            <a:graphic xmlns:a="http://schemas.openxmlformats.org/drawingml/2006/main">
              <a:graphicData uri="http://schemas.openxmlformats.org/drawingml/2006/picture">
                <pic:pic xmlns:pic="http://schemas.openxmlformats.org/drawingml/2006/picture">
                  <pic:nvPicPr>
                    <pic:cNvPr id="94" name="Picture" descr="E:/Quan/project/outputs/current_output/tungsten_ALL_2026-08-07_22-48-23/PINN/3D/solution_snapshots.png"/>
                    <pic:cNvPicPr>
                      <a:picLocks noChangeAspect="1" noChangeArrowheads="1"/>
                    </pic:cNvPicPr>
                  </pic:nvPicPr>
                  <pic:blipFill>
                    <a:blip r:embed="rId19"/>
                    <a:stretch>
                      <a:fillRect/>
                    </a:stretch>
                  </pic:blipFill>
                  <pic:spPr bwMode="auto">
                    <a:xfrm>
                      <a:off x="0" y="0"/>
                      <a:ext cx="5346459" cy="1324473"/>
                    </a:xfrm>
                    <a:prstGeom prst="rect">
                      <a:avLst/>
                    </a:prstGeom>
                    <a:noFill/>
                    <a:ln w="9525">
                      <a:noFill/>
                      <a:headEnd/>
                      <a:tailEnd/>
                    </a:ln>
                  </pic:spPr>
                </pic:pic>
              </a:graphicData>
            </a:graphic>
          </wp:inline>
        </w:drawing>
      </w:r>
    </w:p>
    <w:p w14:paraId="68ACD7E0"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QA-PINN Solution Snapshot:</w:t>
      </w:r>
      <w:r w:rsidRPr="008049C2">
        <w:rPr>
          <w:rFonts w:ascii="Times New Roman" w:hAnsi="Times New Roman" w:cs="Times New Roman"/>
        </w:rPr>
        <w:t xml:space="preserve"> </w:t>
      </w:r>
      <w:r w:rsidRPr="008049C2">
        <w:rPr>
          <w:rFonts w:ascii="Times New Roman" w:hAnsi="Times New Roman" w:cs="Times New Roman"/>
          <w:noProof/>
        </w:rPr>
        <w:drawing>
          <wp:inline distT="0" distB="0" distL="0" distR="0" wp14:anchorId="4121F26C" wp14:editId="263C33EB">
            <wp:extent cx="5334000" cy="1257960"/>
            <wp:effectExtent l="0" t="0" r="0" b="0"/>
            <wp:docPr id="96" name="Picture" descr="3D QA-PINN Snapshots"/>
            <wp:cNvGraphicFramePr/>
            <a:graphic xmlns:a="http://schemas.openxmlformats.org/drawingml/2006/main">
              <a:graphicData uri="http://schemas.openxmlformats.org/drawingml/2006/picture">
                <pic:pic xmlns:pic="http://schemas.openxmlformats.org/drawingml/2006/picture">
                  <pic:nvPicPr>
                    <pic:cNvPr id="97" name="Picture" descr="E:/Quan/project/outputs/current_output/tungsten_ALL_2026-08-07_22-48-23/QA-PINN/3D/solution_snapshots.png"/>
                    <pic:cNvPicPr>
                      <a:picLocks noChangeAspect="1" noChangeArrowheads="1"/>
                    </pic:cNvPicPr>
                  </pic:nvPicPr>
                  <pic:blipFill>
                    <a:blip r:embed="rId20"/>
                    <a:stretch>
                      <a:fillRect/>
                    </a:stretch>
                  </pic:blipFill>
                  <pic:spPr bwMode="auto">
                    <a:xfrm>
                      <a:off x="0" y="0"/>
                      <a:ext cx="5344605" cy="1260461"/>
                    </a:xfrm>
                    <a:prstGeom prst="rect">
                      <a:avLst/>
                    </a:prstGeom>
                    <a:noFill/>
                    <a:ln w="9525">
                      <a:noFill/>
                      <a:headEnd/>
                      <a:tailEnd/>
                    </a:ln>
                  </pic:spPr>
                </pic:pic>
              </a:graphicData>
            </a:graphic>
          </wp:inline>
        </w:drawing>
      </w:r>
    </w:p>
    <w:p w14:paraId="49E29F9D" w14:textId="77777777" w:rsidR="000433CC" w:rsidRPr="008049C2" w:rsidRDefault="00000000">
      <w:pPr>
        <w:pStyle w:val="Heading3"/>
        <w:rPr>
          <w:rFonts w:ascii="Times New Roman" w:hAnsi="Times New Roman" w:cs="Times New Roman"/>
          <w:sz w:val="24"/>
          <w:szCs w:val="24"/>
        </w:rPr>
      </w:pPr>
      <w:bookmarkStart w:id="41" w:name="unified-evaluation-dashboards"/>
      <w:bookmarkEnd w:id="40"/>
      <w:r w:rsidRPr="008049C2">
        <w:rPr>
          <w:rFonts w:ascii="Times New Roman" w:hAnsi="Times New Roman" w:cs="Times New Roman"/>
          <w:sz w:val="24"/>
          <w:szCs w:val="24"/>
        </w:rPr>
        <w:t>10.4 Unified Evaluation Dashboards</w:t>
      </w:r>
    </w:p>
    <w:p w14:paraId="161231D0"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detailed comparison dashboards below quantitatively summarize the trade-offs across all dimensions, visually mapping the parameter efficiency against the localized PDE residuals.</w:t>
      </w:r>
    </w:p>
    <w:p w14:paraId="530DC1FE"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Unified Metrics Dashboard:</w:t>
      </w:r>
      <w:r w:rsidRPr="008049C2">
        <w:rPr>
          <w:rFonts w:ascii="Times New Roman" w:hAnsi="Times New Roman" w:cs="Times New Roman"/>
        </w:rPr>
        <w:t xml:space="preserve"> Unified Metrics</w:t>
      </w:r>
    </w:p>
    <w:p w14:paraId="51D80769"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b/>
          <w:bCs/>
        </w:rPr>
        <w:t>Overall Visual Dashboard:</w:t>
      </w:r>
      <w:r w:rsidRPr="008049C2">
        <w:rPr>
          <w:rFonts w:ascii="Times New Roman" w:hAnsi="Times New Roman" w:cs="Times New Roman"/>
        </w:rPr>
        <w:t xml:space="preserve"> Visual Dashboard</w:t>
      </w:r>
    </w:p>
    <w:p w14:paraId="67A134B0"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04DB763C">
          <v:rect id="_x0000_i2310" style="width:0;height:1.5pt" o:hralign="center" o:hrstd="t" o:hr="t"/>
        </w:pict>
      </w:r>
    </w:p>
    <w:p w14:paraId="2E6F3335" w14:textId="77777777" w:rsidR="000433CC" w:rsidRPr="008049C2" w:rsidRDefault="00000000">
      <w:pPr>
        <w:pStyle w:val="Heading2"/>
        <w:rPr>
          <w:rFonts w:ascii="Times New Roman" w:hAnsi="Times New Roman" w:cs="Times New Roman"/>
          <w:sz w:val="24"/>
          <w:szCs w:val="24"/>
        </w:rPr>
      </w:pPr>
      <w:bookmarkStart w:id="42" w:name="discussion"/>
      <w:bookmarkEnd w:id="37"/>
      <w:bookmarkEnd w:id="41"/>
      <w:r w:rsidRPr="008049C2">
        <w:rPr>
          <w:rFonts w:ascii="Times New Roman" w:hAnsi="Times New Roman" w:cs="Times New Roman"/>
          <w:sz w:val="24"/>
          <w:szCs w:val="24"/>
        </w:rPr>
        <w:lastRenderedPageBreak/>
        <w:t>11. Discussion</w:t>
      </w:r>
    </w:p>
    <w:p w14:paraId="7B0C47F9" w14:textId="77777777" w:rsidR="000433CC" w:rsidRPr="008049C2" w:rsidRDefault="00000000">
      <w:pPr>
        <w:pStyle w:val="Heading3"/>
        <w:rPr>
          <w:rFonts w:ascii="Times New Roman" w:hAnsi="Times New Roman" w:cs="Times New Roman"/>
          <w:sz w:val="24"/>
          <w:szCs w:val="24"/>
        </w:rPr>
      </w:pPr>
      <w:bookmarkStart w:id="43" w:name="interpreting-the-quantum-trade-off"/>
      <w:r w:rsidRPr="008049C2">
        <w:rPr>
          <w:rFonts w:ascii="Times New Roman" w:hAnsi="Times New Roman" w:cs="Times New Roman"/>
          <w:sz w:val="24"/>
          <w:szCs w:val="24"/>
        </w:rPr>
        <w:t>11.1 Interpreting the Quantum Trade-off</w:t>
      </w:r>
    </w:p>
    <w:p w14:paraId="213225DA"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While the QA-PINN did not surpass the classical PINN in absolute accuracy, its parameter efficiency is profound. The classical model operates in a highly over-parameterized regime. In contrast, the QA-PINN captures the fundamental global behavior of 3D heat diffusion using only ~225 parameters. This suggests that the quantum Fourier feature map naturally aligns with the solutions of parabolic PDEs, providing a dense and expressive basis set that a classical linear layer cannot match parameter-for-parameter.</w:t>
      </w:r>
    </w:p>
    <w:p w14:paraId="1BE2E28E" w14:textId="77777777" w:rsidR="000433CC" w:rsidRPr="008049C2" w:rsidRDefault="00000000">
      <w:pPr>
        <w:pStyle w:val="Heading3"/>
        <w:rPr>
          <w:rFonts w:ascii="Times New Roman" w:hAnsi="Times New Roman" w:cs="Times New Roman"/>
          <w:sz w:val="24"/>
          <w:szCs w:val="24"/>
        </w:rPr>
      </w:pPr>
      <w:bookmarkStart w:id="44" w:name="X3b4d9c7527d4b1b6baa639f542a9fb69e0b556d"/>
      <w:bookmarkEnd w:id="43"/>
      <w:r w:rsidRPr="008049C2">
        <w:rPr>
          <w:rFonts w:ascii="Times New Roman" w:hAnsi="Times New Roman" w:cs="Times New Roman"/>
          <w:sz w:val="24"/>
          <w:szCs w:val="24"/>
        </w:rPr>
        <w:t>11.2 The Regularization Effect of Quantum Circuits</w:t>
      </w:r>
    </w:p>
    <w:p w14:paraId="6A1A2A90"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 QA-PINN’s difficulty in resolving localized errors points to a lack of high-frequency precision. While quantum feature maps can represent higher frequencies, our architecture’s limited depth likely truncated the available spectrum. This introduced a strong smoothing effect, limiting the model’s ability to resolve sharp thermal gradients.</w:t>
      </w:r>
    </w:p>
    <w:p w14:paraId="08DFD35F" w14:textId="77777777" w:rsidR="000433CC" w:rsidRPr="008049C2" w:rsidRDefault="00000000">
      <w:pPr>
        <w:pStyle w:val="Heading3"/>
        <w:rPr>
          <w:rFonts w:ascii="Times New Roman" w:hAnsi="Times New Roman" w:cs="Times New Roman"/>
          <w:sz w:val="24"/>
          <w:szCs w:val="24"/>
        </w:rPr>
      </w:pPr>
      <w:bookmarkStart w:id="45" w:name="X9433ec4c6deb08b2c74cf9bddb2c58957e6acf4"/>
      <w:bookmarkEnd w:id="44"/>
      <w:r w:rsidRPr="008049C2">
        <w:rPr>
          <w:rFonts w:ascii="Times New Roman" w:hAnsi="Times New Roman" w:cs="Times New Roman"/>
          <w:sz w:val="24"/>
          <w:szCs w:val="24"/>
        </w:rPr>
        <w:t>11.3 Simulation Constraints vs Physical Hardware</w:t>
      </w:r>
    </w:p>
    <w:p w14:paraId="0DBC9D0F"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These experiments used noiseless state-vector simulators. While this removes hardware noise, it doesn’t reflect current Noisy Intermediate-Scale Quantum (NISQ) hardware. However, the QA-PINN’s shallow depth and low parameter count make it far more compatible with near-term quantum devices than the massive classical PINN.</w:t>
      </w:r>
    </w:p>
    <w:p w14:paraId="17E20F1C"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725389BA">
          <v:rect id="_x0000_i2311" style="width:0;height:1.5pt" o:hralign="center" o:hrstd="t" o:hr="t"/>
        </w:pict>
      </w:r>
    </w:p>
    <w:p w14:paraId="566A63A9" w14:textId="77777777" w:rsidR="000433CC" w:rsidRPr="008049C2" w:rsidRDefault="00000000">
      <w:pPr>
        <w:pStyle w:val="Heading2"/>
        <w:rPr>
          <w:rFonts w:ascii="Times New Roman" w:hAnsi="Times New Roman" w:cs="Times New Roman"/>
          <w:sz w:val="24"/>
          <w:szCs w:val="24"/>
        </w:rPr>
      </w:pPr>
      <w:bookmarkStart w:id="46" w:name="Xa66d1c8e6be2243eebafdef2cdd5fdb907e63b4"/>
      <w:bookmarkEnd w:id="42"/>
      <w:bookmarkEnd w:id="45"/>
      <w:r w:rsidRPr="008049C2">
        <w:rPr>
          <w:rFonts w:ascii="Times New Roman" w:hAnsi="Times New Roman" w:cs="Times New Roman"/>
          <w:sz w:val="24"/>
          <w:szCs w:val="24"/>
        </w:rPr>
        <w:t>12. Deep Dive: Material Properties and Industrial Use-Cases</w:t>
      </w:r>
    </w:p>
    <w:p w14:paraId="4A7E36F7"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To ensure broad applicability, we tested 14 industrial materials. The thermal diffusivity (</w:t>
      </w:r>
      <m:oMath>
        <m:r>
          <w:rPr>
            <w:rFonts w:ascii="Cambria Math" w:hAnsi="Cambria Math" w:cs="Times New Roman"/>
          </w:rPr>
          <m:t>α</m:t>
        </m:r>
      </m:oMath>
      <w:r w:rsidRPr="008049C2">
        <w:rPr>
          <w:rFonts w:ascii="Times New Roman" w:hAnsi="Times New Roman" w:cs="Times New Roman"/>
        </w:rPr>
        <w:t xml:space="preserve">) dictates gradient steepness, testing the network’s spectral bias. - </w:t>
      </w:r>
      <w:r w:rsidRPr="008049C2">
        <w:rPr>
          <w:rFonts w:ascii="Times New Roman" w:hAnsi="Times New Roman" w:cs="Times New Roman"/>
          <w:b/>
          <w:bCs/>
        </w:rPr>
        <w:t>Stainless Steel 304:</w:t>
      </w:r>
      <w:r w:rsidRPr="008049C2">
        <w:rPr>
          <w:rFonts w:ascii="Times New Roman" w:hAnsi="Times New Roman" w:cs="Times New Roman"/>
        </w:rPr>
        <w:t xml:space="preserve"> (Primary Benchmark). Its low conductivity and high density cause slow diffusion and sharp boundaries, making it an excellent stress test for spectral bias. - </w:t>
      </w:r>
      <w:r w:rsidRPr="008049C2">
        <w:rPr>
          <w:rFonts w:ascii="Times New Roman" w:hAnsi="Times New Roman" w:cs="Times New Roman"/>
          <w:b/>
          <w:bCs/>
        </w:rPr>
        <w:t>Aluminium 6061 &amp; Copper:</w:t>
      </w:r>
      <w:r w:rsidRPr="008049C2">
        <w:rPr>
          <w:rFonts w:ascii="Times New Roman" w:hAnsi="Times New Roman" w:cs="Times New Roman"/>
        </w:rPr>
        <w:t xml:space="preserve"> High thermal conductivity leads to rapid heat dissipation and smooth gradients, which are easily captured by classical PINNs. - </w:t>
      </w:r>
      <w:r w:rsidRPr="008049C2">
        <w:rPr>
          <w:rFonts w:ascii="Times New Roman" w:hAnsi="Times New Roman" w:cs="Times New Roman"/>
          <w:b/>
          <w:bCs/>
        </w:rPr>
        <w:t>Tungsten &amp; Titanium Ti-6Al-4V:</w:t>
      </w:r>
      <w:r w:rsidRPr="008049C2">
        <w:rPr>
          <w:rFonts w:ascii="Times New Roman" w:hAnsi="Times New Roman" w:cs="Times New Roman"/>
        </w:rPr>
        <w:t xml:space="preserve"> Relevant for high-temperature aerospace components, these materials present localized heat build-ups that challenge neural networks. - </w:t>
      </w:r>
      <w:r w:rsidRPr="008049C2">
        <w:rPr>
          <w:rFonts w:ascii="Times New Roman" w:hAnsi="Times New Roman" w:cs="Times New Roman"/>
          <w:b/>
          <w:bCs/>
        </w:rPr>
        <w:t>Diamond &amp; LI-900 Silica Tile:</w:t>
      </w:r>
      <w:r w:rsidRPr="008049C2">
        <w:rPr>
          <w:rFonts w:ascii="Times New Roman" w:hAnsi="Times New Roman" w:cs="Times New Roman"/>
        </w:rPr>
        <w:t xml:space="preserve"> Represent theoretical extremes, from instantaneous equilibrium (Diamond) to incredibly slow diffusion (LI-900).</w:t>
      </w:r>
    </w:p>
    <w:p w14:paraId="670F8323"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09D78BAD">
          <v:rect id="_x0000_i2312" style="width:0;height:1.5pt" o:hralign="center" o:hrstd="t" o:hr="t"/>
        </w:pict>
      </w:r>
    </w:p>
    <w:p w14:paraId="5926B4A6" w14:textId="77777777" w:rsidR="000433CC" w:rsidRPr="008049C2" w:rsidRDefault="00000000">
      <w:pPr>
        <w:pStyle w:val="Heading2"/>
        <w:rPr>
          <w:rFonts w:ascii="Times New Roman" w:hAnsi="Times New Roman" w:cs="Times New Roman"/>
          <w:sz w:val="24"/>
          <w:szCs w:val="24"/>
        </w:rPr>
      </w:pPr>
      <w:bookmarkStart w:id="47" w:name="deep-dive-qa-pinn-architecture"/>
      <w:bookmarkEnd w:id="46"/>
      <w:r w:rsidRPr="008049C2">
        <w:rPr>
          <w:rFonts w:ascii="Times New Roman" w:hAnsi="Times New Roman" w:cs="Times New Roman"/>
          <w:sz w:val="24"/>
          <w:szCs w:val="24"/>
        </w:rPr>
        <w:t>13. Deep Dive: QA-PINN Architecture</w:t>
      </w:r>
    </w:p>
    <w:p w14:paraId="3CED2377" w14:textId="77777777" w:rsidR="000433CC" w:rsidRPr="008049C2" w:rsidRDefault="00000000">
      <w:pPr>
        <w:pStyle w:val="Heading3"/>
        <w:rPr>
          <w:rFonts w:ascii="Times New Roman" w:hAnsi="Times New Roman" w:cs="Times New Roman"/>
          <w:sz w:val="24"/>
          <w:szCs w:val="24"/>
        </w:rPr>
      </w:pPr>
      <w:bookmarkStart w:id="48" w:name="quantum-feature-map"/>
      <w:r w:rsidRPr="008049C2">
        <w:rPr>
          <w:rFonts w:ascii="Times New Roman" w:hAnsi="Times New Roman" w:cs="Times New Roman"/>
          <w:sz w:val="24"/>
          <w:szCs w:val="24"/>
        </w:rPr>
        <w:t>13.1 Quantum Feature Map</w:t>
      </w:r>
    </w:p>
    <w:p w14:paraId="707659EE"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Classical inputs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t</m:t>
        </m:r>
      </m:oMath>
      <w:r w:rsidRPr="008049C2">
        <w:rPr>
          <w:rFonts w:ascii="Times New Roman" w:hAnsi="Times New Roman" w:cs="Times New Roman"/>
        </w:rPr>
        <w:t>) are mapped into a quantum Hilbert space using Angle Encoding. For a 3D problem, we initialize 4 qubits. Encoding layers apply Pauli rotations, translating continuous scalars into probability amplitudes on the Bloch sphere.</w:t>
      </w:r>
    </w:p>
    <w:p w14:paraId="0764E72A" w14:textId="77777777" w:rsidR="000433CC" w:rsidRPr="008049C2" w:rsidRDefault="00000000">
      <w:pPr>
        <w:pStyle w:val="Heading3"/>
        <w:rPr>
          <w:rFonts w:ascii="Times New Roman" w:hAnsi="Times New Roman" w:cs="Times New Roman"/>
          <w:sz w:val="24"/>
          <w:szCs w:val="24"/>
        </w:rPr>
      </w:pPr>
      <w:bookmarkStart w:id="49" w:name="variational-ansatz"/>
      <w:bookmarkEnd w:id="48"/>
      <w:r w:rsidRPr="008049C2">
        <w:rPr>
          <w:rFonts w:ascii="Times New Roman" w:hAnsi="Times New Roman" w:cs="Times New Roman"/>
          <w:sz w:val="24"/>
          <w:szCs w:val="24"/>
        </w:rPr>
        <w:lastRenderedPageBreak/>
        <w:t>13.2 Variational Ansatz</w:t>
      </w:r>
    </w:p>
    <w:p w14:paraId="4504F8B8"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Following encoding, a strongly entangling ansatz is applied, consisting of trainable single-qubit rotations and CNOT gates for entanglement. This sequence is repeated, and the output is determined by Pauli expectation values. This creates a compact, exponentially expressive mathematical representation using roughly 225 parameters.</w:t>
      </w:r>
    </w:p>
    <w:p w14:paraId="6AC6891A"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2D161CED">
          <v:rect id="_x0000_i2313" style="width:0;height:1.5pt" o:hralign="center" o:hrstd="t" o:hr="t"/>
        </w:pict>
      </w:r>
    </w:p>
    <w:p w14:paraId="5D86979D" w14:textId="77777777" w:rsidR="000433CC" w:rsidRPr="008049C2" w:rsidRDefault="00000000">
      <w:pPr>
        <w:pStyle w:val="Heading2"/>
        <w:rPr>
          <w:rFonts w:ascii="Times New Roman" w:hAnsi="Times New Roman" w:cs="Times New Roman"/>
          <w:sz w:val="24"/>
          <w:szCs w:val="24"/>
        </w:rPr>
      </w:pPr>
      <w:bookmarkStart w:id="50" w:name="deep-dive-implementation-pipeline"/>
      <w:bookmarkEnd w:id="47"/>
      <w:bookmarkEnd w:id="49"/>
      <w:r w:rsidRPr="008049C2">
        <w:rPr>
          <w:rFonts w:ascii="Times New Roman" w:hAnsi="Times New Roman" w:cs="Times New Roman"/>
          <w:sz w:val="24"/>
          <w:szCs w:val="24"/>
        </w:rPr>
        <w:t>14. Deep Dive: Implementation Pipeline</w:t>
      </w:r>
    </w:p>
    <w:p w14:paraId="0F7354E7" w14:textId="77777777" w:rsidR="000433CC" w:rsidRPr="008049C2" w:rsidRDefault="00000000">
      <w:pPr>
        <w:pStyle w:val="Compact"/>
        <w:numPr>
          <w:ilvl w:val="0"/>
          <w:numId w:val="4"/>
        </w:numPr>
        <w:rPr>
          <w:rFonts w:ascii="Times New Roman" w:hAnsi="Times New Roman" w:cs="Times New Roman"/>
        </w:rPr>
      </w:pPr>
      <w:r w:rsidRPr="008049C2">
        <w:rPr>
          <w:rFonts w:ascii="Times New Roman" w:hAnsi="Times New Roman" w:cs="Times New Roman"/>
          <w:b/>
          <w:bCs/>
        </w:rPr>
        <w:t>Dataset Generator:</w:t>
      </w:r>
      <w:r w:rsidRPr="008049C2">
        <w:rPr>
          <w:rFonts w:ascii="Times New Roman" w:hAnsi="Times New Roman" w:cs="Times New Roman"/>
        </w:rPr>
        <w:t xml:space="preserve"> Implements implicit FDM solvers to generate immutable, high-fidelity ground truth data.</w:t>
      </w:r>
    </w:p>
    <w:p w14:paraId="568CE6DA" w14:textId="77777777" w:rsidR="000433CC" w:rsidRPr="008049C2" w:rsidRDefault="00000000">
      <w:pPr>
        <w:pStyle w:val="Compact"/>
        <w:numPr>
          <w:ilvl w:val="0"/>
          <w:numId w:val="4"/>
        </w:numPr>
        <w:rPr>
          <w:rFonts w:ascii="Times New Roman" w:hAnsi="Times New Roman" w:cs="Times New Roman"/>
        </w:rPr>
      </w:pPr>
      <w:r w:rsidRPr="008049C2">
        <w:rPr>
          <w:rFonts w:ascii="Times New Roman" w:hAnsi="Times New Roman" w:cs="Times New Roman"/>
          <w:b/>
          <w:bCs/>
        </w:rPr>
        <w:t>Core Solvers:</w:t>
      </w:r>
      <w:r w:rsidRPr="008049C2">
        <w:rPr>
          <w:rFonts w:ascii="Times New Roman" w:hAnsi="Times New Roman" w:cs="Times New Roman"/>
        </w:rPr>
        <w:t xml:space="preserve"> Contains modular PyTorch and PennyLane implementations for the PINN and QA-PINN models.</w:t>
      </w:r>
    </w:p>
    <w:p w14:paraId="7681173A" w14:textId="77777777" w:rsidR="000433CC" w:rsidRPr="008049C2" w:rsidRDefault="00000000">
      <w:pPr>
        <w:pStyle w:val="Compact"/>
        <w:numPr>
          <w:ilvl w:val="0"/>
          <w:numId w:val="4"/>
        </w:numPr>
        <w:rPr>
          <w:rFonts w:ascii="Times New Roman" w:hAnsi="Times New Roman" w:cs="Times New Roman"/>
        </w:rPr>
      </w:pPr>
      <w:r w:rsidRPr="008049C2">
        <w:rPr>
          <w:rFonts w:ascii="Times New Roman" w:hAnsi="Times New Roman" w:cs="Times New Roman"/>
          <w:b/>
          <w:bCs/>
        </w:rPr>
        <w:t>Orchestration:</w:t>
      </w:r>
      <w:r w:rsidRPr="008049C2">
        <w:rPr>
          <w:rFonts w:ascii="Times New Roman" w:hAnsi="Times New Roman" w:cs="Times New Roman"/>
        </w:rPr>
        <w:t xml:space="preserve"> Dynamically loads configurations, runs parallel training sessions, and generates comprehensive evaluative dashboards.</w:t>
      </w:r>
    </w:p>
    <w:p w14:paraId="51650AB3"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446088F6">
          <v:rect id="_x0000_i2314" style="width:0;height:1.5pt" o:hralign="center" o:hrstd="t" o:hr="t"/>
        </w:pict>
      </w:r>
    </w:p>
    <w:p w14:paraId="2C584DF8" w14:textId="77777777" w:rsidR="000433CC" w:rsidRPr="008049C2" w:rsidRDefault="00000000">
      <w:pPr>
        <w:pStyle w:val="Heading2"/>
        <w:rPr>
          <w:rFonts w:ascii="Times New Roman" w:hAnsi="Times New Roman" w:cs="Times New Roman"/>
          <w:sz w:val="24"/>
          <w:szCs w:val="24"/>
        </w:rPr>
      </w:pPr>
      <w:bookmarkStart w:id="51" w:name="future-work-and-recommendations"/>
      <w:bookmarkEnd w:id="50"/>
      <w:r w:rsidRPr="008049C2">
        <w:rPr>
          <w:rFonts w:ascii="Times New Roman" w:hAnsi="Times New Roman" w:cs="Times New Roman"/>
          <w:sz w:val="24"/>
          <w:szCs w:val="24"/>
        </w:rPr>
        <w:t>15. Future Work and Recommendations</w:t>
      </w:r>
    </w:p>
    <w:p w14:paraId="52B3EDDF" w14:textId="77777777" w:rsidR="000433CC" w:rsidRPr="008049C2" w:rsidRDefault="00000000">
      <w:pPr>
        <w:pStyle w:val="Compact"/>
        <w:numPr>
          <w:ilvl w:val="0"/>
          <w:numId w:val="5"/>
        </w:numPr>
        <w:rPr>
          <w:rFonts w:ascii="Times New Roman" w:hAnsi="Times New Roman" w:cs="Times New Roman"/>
        </w:rPr>
      </w:pPr>
      <w:r w:rsidRPr="008049C2">
        <w:rPr>
          <w:rFonts w:ascii="Times New Roman" w:hAnsi="Times New Roman" w:cs="Times New Roman"/>
          <w:b/>
          <w:bCs/>
        </w:rPr>
        <w:t>Hardware Validation:</w:t>
      </w:r>
      <w:r w:rsidRPr="008049C2">
        <w:rPr>
          <w:rFonts w:ascii="Times New Roman" w:hAnsi="Times New Roman" w:cs="Times New Roman"/>
        </w:rPr>
        <w:t xml:space="preserve"> Deploy the models on actual quantum processing units (e.g., IBM or IonQ) to assess the impact of gate noise and decoherence.</w:t>
      </w:r>
    </w:p>
    <w:p w14:paraId="5BB9687D" w14:textId="77777777" w:rsidR="000433CC" w:rsidRPr="008049C2" w:rsidRDefault="00000000">
      <w:pPr>
        <w:pStyle w:val="Compact"/>
        <w:numPr>
          <w:ilvl w:val="0"/>
          <w:numId w:val="5"/>
        </w:numPr>
        <w:rPr>
          <w:rFonts w:ascii="Times New Roman" w:hAnsi="Times New Roman" w:cs="Times New Roman"/>
        </w:rPr>
      </w:pPr>
      <w:r w:rsidRPr="008049C2">
        <w:rPr>
          <w:rFonts w:ascii="Times New Roman" w:hAnsi="Times New Roman" w:cs="Times New Roman"/>
          <w:b/>
          <w:bCs/>
        </w:rPr>
        <w:t>Circuit Ablation:</w:t>
      </w:r>
      <w:r w:rsidRPr="008049C2">
        <w:rPr>
          <w:rFonts w:ascii="Times New Roman" w:hAnsi="Times New Roman" w:cs="Times New Roman"/>
        </w:rPr>
        <w:t xml:space="preserve"> Systematically increase circuit depth to find the optimal balance between parameter count and accuracy.</w:t>
      </w:r>
    </w:p>
    <w:p w14:paraId="72EA7380" w14:textId="77777777" w:rsidR="000433CC" w:rsidRPr="008049C2" w:rsidRDefault="00000000">
      <w:pPr>
        <w:pStyle w:val="Compact"/>
        <w:numPr>
          <w:ilvl w:val="0"/>
          <w:numId w:val="5"/>
        </w:numPr>
        <w:rPr>
          <w:rFonts w:ascii="Times New Roman" w:hAnsi="Times New Roman" w:cs="Times New Roman"/>
        </w:rPr>
      </w:pPr>
      <w:r w:rsidRPr="008049C2">
        <w:rPr>
          <w:rFonts w:ascii="Times New Roman" w:hAnsi="Times New Roman" w:cs="Times New Roman"/>
          <w:b/>
          <w:bCs/>
        </w:rPr>
        <w:t>Hybrid Architectures:</w:t>
      </w:r>
      <w:r w:rsidRPr="008049C2">
        <w:rPr>
          <w:rFonts w:ascii="Times New Roman" w:hAnsi="Times New Roman" w:cs="Times New Roman"/>
        </w:rPr>
        <w:t xml:space="preserve"> Explore models where classical layers pre-process inputs before quantum encoding to unlock higher frequencies without inflating parameter counts.</w:t>
      </w:r>
    </w:p>
    <w:p w14:paraId="275DEB84" w14:textId="77777777" w:rsidR="000433CC" w:rsidRPr="008049C2" w:rsidRDefault="00000000">
      <w:pPr>
        <w:pStyle w:val="Compact"/>
        <w:numPr>
          <w:ilvl w:val="0"/>
          <w:numId w:val="5"/>
        </w:numPr>
        <w:rPr>
          <w:rFonts w:ascii="Times New Roman" w:hAnsi="Times New Roman" w:cs="Times New Roman"/>
        </w:rPr>
      </w:pPr>
      <w:r w:rsidRPr="008049C2">
        <w:rPr>
          <w:rFonts w:ascii="Times New Roman" w:hAnsi="Times New Roman" w:cs="Times New Roman"/>
          <w:b/>
          <w:bCs/>
        </w:rPr>
        <w:t>Complex Geometries:</w:t>
      </w:r>
      <w:r w:rsidRPr="008049C2">
        <w:rPr>
          <w:rFonts w:ascii="Times New Roman" w:hAnsi="Times New Roman" w:cs="Times New Roman"/>
        </w:rPr>
        <w:t xml:space="preserve"> Extend testing to non-convex, real-world aerospace CAD geometries.</w:t>
      </w:r>
    </w:p>
    <w:p w14:paraId="5920DDB9"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46732F8A">
          <v:rect id="_x0000_i2315" style="width:0;height:1.5pt" o:hralign="center" o:hrstd="t" o:hr="t"/>
        </w:pict>
      </w:r>
    </w:p>
    <w:p w14:paraId="5CE6F9F1" w14:textId="77777777" w:rsidR="000433CC" w:rsidRPr="008049C2" w:rsidRDefault="00000000">
      <w:pPr>
        <w:pStyle w:val="Heading2"/>
        <w:rPr>
          <w:rFonts w:ascii="Times New Roman" w:hAnsi="Times New Roman" w:cs="Times New Roman"/>
          <w:sz w:val="24"/>
          <w:szCs w:val="24"/>
        </w:rPr>
      </w:pPr>
      <w:bookmarkStart w:id="52" w:name="team-roles-and-contributions"/>
      <w:bookmarkEnd w:id="51"/>
      <w:r w:rsidRPr="008049C2">
        <w:rPr>
          <w:rFonts w:ascii="Times New Roman" w:hAnsi="Times New Roman" w:cs="Times New Roman"/>
          <w:sz w:val="24"/>
          <w:szCs w:val="24"/>
        </w:rPr>
        <w:t>16. Team Roles and Contributions</w:t>
      </w:r>
    </w:p>
    <w:p w14:paraId="240F766F"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This research was conducted as a collaborative effort, with specific responsibilities divided among the authors to leverage domain expertise in classical machine learning, quantum computing, and computational fluid dynamics:</w:t>
      </w:r>
    </w:p>
    <w:p w14:paraId="003F38AD" w14:textId="77777777" w:rsidR="000433CC" w:rsidRPr="008049C2" w:rsidRDefault="00000000">
      <w:pPr>
        <w:numPr>
          <w:ilvl w:val="0"/>
          <w:numId w:val="6"/>
        </w:numPr>
        <w:rPr>
          <w:rFonts w:ascii="Times New Roman" w:hAnsi="Times New Roman" w:cs="Times New Roman"/>
        </w:rPr>
      </w:pPr>
      <w:r w:rsidRPr="008049C2">
        <w:rPr>
          <w:rFonts w:ascii="Times New Roman" w:hAnsi="Times New Roman" w:cs="Times New Roman"/>
          <w:b/>
          <w:bCs/>
        </w:rPr>
        <w:t>HARIHARAN A (Comparative Analysis &amp; Evaluation Lead):</w:t>
      </w:r>
      <w:r w:rsidRPr="008049C2">
        <w:rPr>
          <w:rFonts w:ascii="Times New Roman" w:hAnsi="Times New Roman" w:cs="Times New Roman"/>
        </w:rPr>
        <w:t xml:space="preserve"> Responsible for the shared evaluation infrastructure, standardizing metrics, and the aggregation of multi-dimensional CFD/PINN datasets. Directed the drafting and final formatting of this technical report.</w:t>
      </w:r>
    </w:p>
    <w:p w14:paraId="146DE8BE" w14:textId="77777777" w:rsidR="000433CC" w:rsidRPr="008049C2" w:rsidRDefault="00000000">
      <w:pPr>
        <w:numPr>
          <w:ilvl w:val="0"/>
          <w:numId w:val="6"/>
        </w:numPr>
        <w:rPr>
          <w:rFonts w:ascii="Times New Roman" w:hAnsi="Times New Roman" w:cs="Times New Roman"/>
        </w:rPr>
      </w:pPr>
      <w:r w:rsidRPr="008049C2">
        <w:rPr>
          <w:rFonts w:ascii="Times New Roman" w:hAnsi="Times New Roman" w:cs="Times New Roman"/>
          <w:b/>
          <w:bCs/>
        </w:rPr>
        <w:t>HARIHARAN S (Classical PINN &amp; Neural Network Lead):</w:t>
      </w:r>
      <w:r w:rsidRPr="008049C2">
        <w:rPr>
          <w:rFonts w:ascii="Times New Roman" w:hAnsi="Times New Roman" w:cs="Times New Roman"/>
        </w:rPr>
        <w:t xml:space="preserve"> Responsible for the Model A architecture, hyperparameter selection, and the dual-stage (Adam → L-BFGS) training schedule. Executed all baseline classical neural network diagnostics.</w:t>
      </w:r>
    </w:p>
    <w:p w14:paraId="578674B9" w14:textId="77777777" w:rsidR="000433CC" w:rsidRPr="008049C2" w:rsidRDefault="00000000">
      <w:pPr>
        <w:numPr>
          <w:ilvl w:val="0"/>
          <w:numId w:val="6"/>
        </w:numPr>
        <w:rPr>
          <w:rFonts w:ascii="Times New Roman" w:hAnsi="Times New Roman" w:cs="Times New Roman"/>
        </w:rPr>
      </w:pPr>
      <w:r w:rsidRPr="008049C2">
        <w:rPr>
          <w:rFonts w:ascii="Times New Roman" w:hAnsi="Times New Roman" w:cs="Times New Roman"/>
          <w:b/>
          <w:bCs/>
        </w:rPr>
        <w:t>HARISH M S (Quantum &amp; QA-PINN Lead):</w:t>
      </w:r>
      <w:r w:rsidRPr="008049C2">
        <w:rPr>
          <w:rFonts w:ascii="Times New Roman" w:hAnsi="Times New Roman" w:cs="Times New Roman"/>
        </w:rPr>
        <w:t xml:space="preserve"> Responsible for the Model B architecture. Designed the quantum feature map, constructed the variational quantum circuits, and handled the PennyLane integrations for hybrid computation.</w:t>
      </w:r>
    </w:p>
    <w:p w14:paraId="5C38D226" w14:textId="77777777" w:rsidR="000433CC" w:rsidRPr="008049C2" w:rsidRDefault="00000000">
      <w:pPr>
        <w:pStyle w:val="Heading2"/>
        <w:rPr>
          <w:rFonts w:ascii="Times New Roman" w:hAnsi="Times New Roman" w:cs="Times New Roman"/>
          <w:sz w:val="24"/>
          <w:szCs w:val="24"/>
        </w:rPr>
      </w:pPr>
      <w:bookmarkStart w:id="53" w:name="conclusion"/>
      <w:bookmarkEnd w:id="52"/>
      <w:r w:rsidRPr="008049C2">
        <w:rPr>
          <w:rFonts w:ascii="Times New Roman" w:hAnsi="Times New Roman" w:cs="Times New Roman"/>
          <w:sz w:val="24"/>
          <w:szCs w:val="24"/>
        </w:rPr>
        <w:lastRenderedPageBreak/>
        <w:t>17. Conclusion</w:t>
      </w:r>
    </w:p>
    <w:p w14:paraId="0AE2F245"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This research successfully benchmarked classical numerical solvers, standard PINNs, and QA-PINNs for multidimensional transient heat conduction. The results highlight the QA-PINN’s ability to compress a classical model’s parameter footprint by over 99% while still capturing the core physics of 3D thermal diffusion.</w:t>
      </w:r>
    </w:p>
    <w:p w14:paraId="3F74FB36" w14:textId="77777777" w:rsidR="000433CC" w:rsidRPr="008049C2" w:rsidRDefault="00000000">
      <w:pPr>
        <w:pStyle w:val="BodyText"/>
        <w:rPr>
          <w:rFonts w:ascii="Times New Roman" w:hAnsi="Times New Roman" w:cs="Times New Roman"/>
        </w:rPr>
      </w:pPr>
      <w:r w:rsidRPr="008049C2">
        <w:rPr>
          <w:rFonts w:ascii="Times New Roman" w:hAnsi="Times New Roman" w:cs="Times New Roman"/>
        </w:rPr>
        <w:t>Although the classical PINN currently leads in absolute precision and localized error resolution, QA-PINNs show immense promise for creating highly compact surrogate models. As quantum hardware advances and circuit designs improve, QA-PINNs could become viable tools for parameter-constrained thermal modeling in aerospace and advanced materials engineering.</w:t>
      </w:r>
    </w:p>
    <w:p w14:paraId="05D61EA9"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4BF3A9BB">
          <v:rect id="_x0000_i2316" style="width:0;height:1.5pt" o:hralign="center" o:hrstd="t" o:hr="t"/>
        </w:pict>
      </w:r>
    </w:p>
    <w:p w14:paraId="0262FD49" w14:textId="77777777" w:rsidR="000433CC" w:rsidRPr="008049C2" w:rsidRDefault="00000000">
      <w:pPr>
        <w:pStyle w:val="Heading2"/>
        <w:rPr>
          <w:rFonts w:ascii="Times New Roman" w:hAnsi="Times New Roman" w:cs="Times New Roman"/>
          <w:sz w:val="24"/>
          <w:szCs w:val="24"/>
        </w:rPr>
      </w:pPr>
      <w:bookmarkStart w:id="54" w:name="final-remarks"/>
      <w:bookmarkEnd w:id="53"/>
      <w:r w:rsidRPr="008049C2">
        <w:rPr>
          <w:rFonts w:ascii="Times New Roman" w:hAnsi="Times New Roman" w:cs="Times New Roman"/>
          <w:sz w:val="24"/>
          <w:szCs w:val="24"/>
        </w:rPr>
        <w:t>18. Final Remarks</w:t>
      </w:r>
    </w:p>
    <w:p w14:paraId="2A9B7C5D"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rPr>
        <w:t>While fault-tolerant quantum computers capable of running deep CFD algorithms are still years away, QA-PINNs offer a compelling near-term hybrid alternative. By offloading high-frequency functional representation to a quantum feature map, we drastically reduce network size. With further refinements, QA-PINNs could play a pivotal role in real-time thermal modeling for autonomous systems and aerospace design.</w:t>
      </w:r>
    </w:p>
    <w:p w14:paraId="2D3FC75E" w14:textId="66C7132F" w:rsidR="000433CC" w:rsidRPr="008049C2" w:rsidRDefault="00000000">
      <w:pPr>
        <w:rPr>
          <w:rFonts w:ascii="Times New Roman" w:hAnsi="Times New Roman" w:cs="Times New Roman"/>
        </w:rPr>
      </w:pPr>
      <w:r w:rsidRPr="008049C2">
        <w:rPr>
          <w:rFonts w:ascii="Times New Roman" w:hAnsi="Times New Roman" w:cs="Times New Roman"/>
        </w:rPr>
        <w:pict w14:anchorId="5DC35AA6">
          <v:rect id="_x0000_i2317" style="width:0;height:1.5pt" o:hralign="center" o:hrstd="t" o:hr="t"/>
        </w:pict>
      </w:r>
    </w:p>
    <w:p w14:paraId="02D01FDE" w14:textId="77777777" w:rsidR="000433CC" w:rsidRPr="008049C2" w:rsidRDefault="00000000">
      <w:pPr>
        <w:pStyle w:val="Heading2"/>
        <w:rPr>
          <w:rFonts w:ascii="Times New Roman" w:hAnsi="Times New Roman" w:cs="Times New Roman"/>
          <w:sz w:val="24"/>
          <w:szCs w:val="24"/>
        </w:rPr>
      </w:pPr>
      <w:bookmarkStart w:id="55" w:name="references"/>
      <w:bookmarkEnd w:id="54"/>
      <w:r w:rsidRPr="008049C2">
        <w:rPr>
          <w:rFonts w:ascii="Times New Roman" w:hAnsi="Times New Roman" w:cs="Times New Roman"/>
          <w:sz w:val="24"/>
          <w:szCs w:val="24"/>
        </w:rPr>
        <w:t>19. References</w:t>
      </w:r>
    </w:p>
    <w:p w14:paraId="05633C67" w14:textId="77777777" w:rsidR="000433CC" w:rsidRPr="008049C2" w:rsidRDefault="00000000">
      <w:pPr>
        <w:pStyle w:val="Compact"/>
        <w:numPr>
          <w:ilvl w:val="0"/>
          <w:numId w:val="7"/>
        </w:numPr>
        <w:rPr>
          <w:rFonts w:ascii="Times New Roman" w:hAnsi="Times New Roman" w:cs="Times New Roman"/>
        </w:rPr>
      </w:pPr>
      <w:r w:rsidRPr="008049C2">
        <w:rPr>
          <w:rFonts w:ascii="Times New Roman" w:hAnsi="Times New Roman" w:cs="Times New Roman"/>
          <w:b/>
          <w:bCs/>
        </w:rPr>
        <w:t>Raissi, M., Perdikaris, P., &amp; Karniadakis, G. E. (2019).</w:t>
      </w:r>
      <w:r w:rsidRPr="008049C2">
        <w:rPr>
          <w:rFonts w:ascii="Times New Roman" w:hAnsi="Times New Roman" w:cs="Times New Roman"/>
        </w:rPr>
        <w:t xml:space="preserve"> Physics-informed neural networks: A deep learning framework for solving forward and inverse problems involving nonlinear partial differential equations. </w:t>
      </w:r>
      <w:r w:rsidRPr="008049C2">
        <w:rPr>
          <w:rFonts w:ascii="Times New Roman" w:hAnsi="Times New Roman" w:cs="Times New Roman"/>
          <w:i/>
          <w:iCs/>
        </w:rPr>
        <w:t>Journal of Computational Physics</w:t>
      </w:r>
      <w:r w:rsidRPr="008049C2">
        <w:rPr>
          <w:rFonts w:ascii="Times New Roman" w:hAnsi="Times New Roman" w:cs="Times New Roman"/>
        </w:rPr>
        <w:t>, 378, 686-707.</w:t>
      </w:r>
    </w:p>
    <w:p w14:paraId="4B10EA1A" w14:textId="77777777" w:rsidR="000433CC" w:rsidRPr="008049C2" w:rsidRDefault="00000000">
      <w:pPr>
        <w:pStyle w:val="Compact"/>
        <w:numPr>
          <w:ilvl w:val="0"/>
          <w:numId w:val="7"/>
        </w:numPr>
        <w:rPr>
          <w:rFonts w:ascii="Times New Roman" w:hAnsi="Times New Roman" w:cs="Times New Roman"/>
        </w:rPr>
      </w:pPr>
      <w:r w:rsidRPr="008049C2">
        <w:rPr>
          <w:rFonts w:ascii="Times New Roman" w:hAnsi="Times New Roman" w:cs="Times New Roman"/>
          <w:b/>
          <w:bCs/>
        </w:rPr>
        <w:t>Rahaman, N., Baratin, A., Arpit, D., Draxler, F., Lin, M., Hamprecht, F., … &amp; Courville, A. (2019).</w:t>
      </w:r>
      <w:r w:rsidRPr="008049C2">
        <w:rPr>
          <w:rFonts w:ascii="Times New Roman" w:hAnsi="Times New Roman" w:cs="Times New Roman"/>
        </w:rPr>
        <w:t xml:space="preserve"> On the spectral bias of neural networks. In </w:t>
      </w:r>
      <w:r w:rsidRPr="008049C2">
        <w:rPr>
          <w:rFonts w:ascii="Times New Roman" w:hAnsi="Times New Roman" w:cs="Times New Roman"/>
          <w:i/>
          <w:iCs/>
        </w:rPr>
        <w:t>International Conference on Machine Learning</w:t>
      </w:r>
      <w:r w:rsidRPr="008049C2">
        <w:rPr>
          <w:rFonts w:ascii="Times New Roman" w:hAnsi="Times New Roman" w:cs="Times New Roman"/>
        </w:rPr>
        <w:t xml:space="preserve"> (pp. 5301-5310). PMLR.</w:t>
      </w:r>
    </w:p>
    <w:p w14:paraId="62F1B822" w14:textId="77777777" w:rsidR="000433CC" w:rsidRPr="008049C2" w:rsidRDefault="00000000">
      <w:pPr>
        <w:pStyle w:val="Compact"/>
        <w:numPr>
          <w:ilvl w:val="0"/>
          <w:numId w:val="7"/>
        </w:numPr>
        <w:rPr>
          <w:rFonts w:ascii="Times New Roman" w:hAnsi="Times New Roman" w:cs="Times New Roman"/>
        </w:rPr>
      </w:pPr>
      <w:r w:rsidRPr="008049C2">
        <w:rPr>
          <w:rFonts w:ascii="Times New Roman" w:hAnsi="Times New Roman" w:cs="Times New Roman"/>
          <w:b/>
          <w:bCs/>
        </w:rPr>
        <w:t>Schuld, M., Sweke, R., &amp; Meyer, J. J. (2021).</w:t>
      </w:r>
      <w:r w:rsidRPr="008049C2">
        <w:rPr>
          <w:rFonts w:ascii="Times New Roman" w:hAnsi="Times New Roman" w:cs="Times New Roman"/>
        </w:rPr>
        <w:t xml:space="preserve"> Effect of data encoding on the expressive power of variational quantum-machine-learning models. </w:t>
      </w:r>
      <w:r w:rsidRPr="008049C2">
        <w:rPr>
          <w:rFonts w:ascii="Times New Roman" w:hAnsi="Times New Roman" w:cs="Times New Roman"/>
          <w:i/>
          <w:iCs/>
        </w:rPr>
        <w:t>Physical Review A</w:t>
      </w:r>
      <w:r w:rsidRPr="008049C2">
        <w:rPr>
          <w:rFonts w:ascii="Times New Roman" w:hAnsi="Times New Roman" w:cs="Times New Roman"/>
        </w:rPr>
        <w:t>, 103(3), 032430.</w:t>
      </w:r>
    </w:p>
    <w:p w14:paraId="6E31D2F4" w14:textId="77777777" w:rsidR="000433CC" w:rsidRPr="008049C2" w:rsidRDefault="00000000">
      <w:pPr>
        <w:pStyle w:val="Compact"/>
        <w:numPr>
          <w:ilvl w:val="0"/>
          <w:numId w:val="7"/>
        </w:numPr>
        <w:rPr>
          <w:rFonts w:ascii="Times New Roman" w:hAnsi="Times New Roman" w:cs="Times New Roman"/>
        </w:rPr>
      </w:pPr>
      <w:r w:rsidRPr="008049C2">
        <w:rPr>
          <w:rFonts w:ascii="Times New Roman" w:hAnsi="Times New Roman" w:cs="Times New Roman"/>
          <w:b/>
          <w:bCs/>
        </w:rPr>
        <w:t>Peaceman, D. W., &amp; Rachford Jr, H. H. (1955).</w:t>
      </w:r>
      <w:r w:rsidRPr="008049C2">
        <w:rPr>
          <w:rFonts w:ascii="Times New Roman" w:hAnsi="Times New Roman" w:cs="Times New Roman"/>
        </w:rPr>
        <w:t xml:space="preserve"> The numerical solution of parabolic and elliptic differential equations. </w:t>
      </w:r>
      <w:r w:rsidRPr="008049C2">
        <w:rPr>
          <w:rFonts w:ascii="Times New Roman" w:hAnsi="Times New Roman" w:cs="Times New Roman"/>
          <w:i/>
          <w:iCs/>
        </w:rPr>
        <w:t>Journal of the Society for Industrial and Applied Mathematics</w:t>
      </w:r>
      <w:r w:rsidRPr="008049C2">
        <w:rPr>
          <w:rFonts w:ascii="Times New Roman" w:hAnsi="Times New Roman" w:cs="Times New Roman"/>
        </w:rPr>
        <w:t>, 3(1), 28-41.</w:t>
      </w:r>
    </w:p>
    <w:p w14:paraId="0876DC58" w14:textId="77777777" w:rsidR="000433CC" w:rsidRPr="008049C2" w:rsidRDefault="00000000">
      <w:pPr>
        <w:pStyle w:val="Compact"/>
        <w:numPr>
          <w:ilvl w:val="0"/>
          <w:numId w:val="7"/>
        </w:numPr>
        <w:rPr>
          <w:rFonts w:ascii="Times New Roman" w:hAnsi="Times New Roman" w:cs="Times New Roman"/>
        </w:rPr>
      </w:pPr>
      <w:r w:rsidRPr="008049C2">
        <w:rPr>
          <w:rFonts w:ascii="Times New Roman" w:hAnsi="Times New Roman" w:cs="Times New Roman"/>
          <w:b/>
          <w:bCs/>
        </w:rPr>
        <w:t>Crank, J., &amp; Nicolson, P. (1947).</w:t>
      </w:r>
      <w:r w:rsidRPr="008049C2">
        <w:rPr>
          <w:rFonts w:ascii="Times New Roman" w:hAnsi="Times New Roman" w:cs="Times New Roman"/>
        </w:rPr>
        <w:t xml:space="preserve"> A practical method for numerical evaluation of solutions of partial differential equations of the heat-conduction type. </w:t>
      </w:r>
      <w:r w:rsidRPr="008049C2">
        <w:rPr>
          <w:rFonts w:ascii="Times New Roman" w:hAnsi="Times New Roman" w:cs="Times New Roman"/>
          <w:i/>
          <w:iCs/>
        </w:rPr>
        <w:t>Mathematical Proceedings of the Cambridge Philosophical Society</w:t>
      </w:r>
      <w:r w:rsidRPr="008049C2">
        <w:rPr>
          <w:rFonts w:ascii="Times New Roman" w:hAnsi="Times New Roman" w:cs="Times New Roman"/>
        </w:rPr>
        <w:t>, 43(1), 50-67.</w:t>
      </w:r>
    </w:p>
    <w:p w14:paraId="52EFDFA1" w14:textId="77777777" w:rsidR="000433CC" w:rsidRPr="008049C2" w:rsidRDefault="00000000">
      <w:pPr>
        <w:pStyle w:val="Compact"/>
        <w:numPr>
          <w:ilvl w:val="0"/>
          <w:numId w:val="7"/>
        </w:numPr>
        <w:rPr>
          <w:rFonts w:ascii="Times New Roman" w:hAnsi="Times New Roman" w:cs="Times New Roman"/>
        </w:rPr>
      </w:pPr>
      <w:r w:rsidRPr="008049C2">
        <w:rPr>
          <w:rFonts w:ascii="Times New Roman" w:hAnsi="Times New Roman" w:cs="Times New Roman"/>
          <w:b/>
          <w:bCs/>
        </w:rPr>
        <w:t>Bergholm, V., Izaac, J., Schuld, M., Gogolin, C., Ahmed, S., Ajith, V., … &amp; Killoran, N. (2018).</w:t>
      </w:r>
      <w:r w:rsidRPr="008049C2">
        <w:rPr>
          <w:rFonts w:ascii="Times New Roman" w:hAnsi="Times New Roman" w:cs="Times New Roman"/>
        </w:rPr>
        <w:t xml:space="preserve"> PennyLane: Automatic differentiation of hybrid quantum-classical computations. </w:t>
      </w:r>
      <w:r w:rsidRPr="008049C2">
        <w:rPr>
          <w:rFonts w:ascii="Times New Roman" w:hAnsi="Times New Roman" w:cs="Times New Roman"/>
          <w:i/>
          <w:iCs/>
        </w:rPr>
        <w:t>arXiv preprint arXiv:1811.04968</w:t>
      </w:r>
      <w:r w:rsidRPr="008049C2">
        <w:rPr>
          <w:rFonts w:ascii="Times New Roman" w:hAnsi="Times New Roman" w:cs="Times New Roman"/>
        </w:rPr>
        <w:t>.</w:t>
      </w:r>
    </w:p>
    <w:p w14:paraId="5762FE27" w14:textId="77777777" w:rsidR="000433CC" w:rsidRPr="008049C2" w:rsidRDefault="00000000">
      <w:pPr>
        <w:rPr>
          <w:rFonts w:ascii="Times New Roman" w:hAnsi="Times New Roman" w:cs="Times New Roman"/>
        </w:rPr>
      </w:pPr>
      <w:r w:rsidRPr="008049C2">
        <w:rPr>
          <w:rFonts w:ascii="Times New Roman" w:hAnsi="Times New Roman" w:cs="Times New Roman"/>
        </w:rPr>
        <w:pict w14:anchorId="13F68269">
          <v:rect id="_x0000_i2318" style="width:0;height:1.5pt" o:hralign="center" o:hrstd="t" o:hr="t"/>
        </w:pict>
      </w:r>
    </w:p>
    <w:p w14:paraId="0BBCEFC5" w14:textId="77777777" w:rsidR="000433CC" w:rsidRPr="008049C2" w:rsidRDefault="00000000">
      <w:pPr>
        <w:pStyle w:val="FirstParagraph"/>
        <w:rPr>
          <w:rFonts w:ascii="Times New Roman" w:hAnsi="Times New Roman" w:cs="Times New Roman"/>
        </w:rPr>
      </w:pPr>
      <w:r w:rsidRPr="008049C2">
        <w:rPr>
          <w:rFonts w:ascii="Times New Roman" w:hAnsi="Times New Roman" w:cs="Times New Roman"/>
          <w:i/>
          <w:iCs/>
        </w:rPr>
        <w:t>End of Report</w:t>
      </w:r>
      <w:bookmarkEnd w:id="0"/>
      <w:bookmarkEnd w:id="55"/>
    </w:p>
    <w:sectPr w:rsidR="000433CC" w:rsidRPr="008049C2" w:rsidSect="00943183">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0492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6E6A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B668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4344078">
    <w:abstractNumId w:val="0"/>
  </w:num>
  <w:num w:numId="2" w16cid:durableId="921260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9112477">
    <w:abstractNumId w:val="1"/>
  </w:num>
  <w:num w:numId="4" w16cid:durableId="397823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3406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4127012">
    <w:abstractNumId w:val="1"/>
  </w:num>
  <w:num w:numId="7" w16cid:durableId="2123108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433CC"/>
    <w:rsid w:val="000433CC"/>
    <w:rsid w:val="00761C24"/>
    <w:rsid w:val="008049C2"/>
    <w:rsid w:val="00811098"/>
    <w:rsid w:val="0094318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AC8D"/>
  <w15:docId w15:val="{7BA64838-FAD4-4140-A893-11A901E4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20</Pages>
  <Words>6125</Words>
  <Characters>34919</Characters>
  <Application>Microsoft Office Word</Application>
  <DocSecurity>0</DocSecurity>
  <Lines>290</Lines>
  <Paragraphs>81</Paragraphs>
  <ScaleCrop>false</ScaleCrop>
  <Company/>
  <LinksUpToDate>false</LinksUpToDate>
  <CharactersWithSpaces>40963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Hariharan</dc:creator>
  <cp:keywords/>
  <cp:lastModifiedBy>Hariharan A</cp:lastModifiedBy>
  <cp:revision>4</cp:revision>
  <cp:lastPrinted>2026-08-12T15:19:00Z</cp:lastPrinted>
  <dcterms:created xsi:type="dcterms:W3CDTF">2026-08-12T15:03:00Z</dcterms:created>
  <dcterms:modified xsi:type="dcterms:W3CDTF">2026-08-12T15:20:00Z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d26309d7-10ea-43e8-8b73-18bf59253684</vt:lpwstr>
  </property>
</Properties>
</file>