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400"/>
        <w:jc w:val="center"/>
      </w:pPr>
      <w:r>
        <w:rPr>
          <w:rFonts w:ascii="Times New Roman" w:cs="Times New Roman" w:eastAsia="Times New Roman" w:hAnsi="Times New Roman"/>
          <w:color w:val="64748B"/>
          <w:sz w:val="28"/>
          <w:szCs w:val="28"/>
        </w:rPr>
        <w:t xml:space="preserve">INNOVATION PROJECT PLAN</w:t>
      </w:r>
    </w:p>
    <w:p>
      <w:pPr>
        <w:spacing w:after="200"/>
        <w:jc w:val="center"/>
      </w:pPr>
      <w:r>
        <w:rPr>
          <w:rFonts w:ascii="Times New Roman" w:cs="Times New Roman" w:eastAsia="Times New Roman" w:hAnsi="Times New Roman"/>
          <w:b/>
          <w:bCs/>
          <w:color w:val="020617"/>
          <w:sz w:val="56"/>
          <w:szCs w:val="56"/>
        </w:rPr>
        <w:t xml:space="preserve">SaaS Cost Optimization Platform</w:t>
      </w:r>
    </w:p>
    <w:p>
      <w:pPr>
        <w:spacing w:after="600"/>
        <w:jc w:val="center"/>
      </w:pPr>
      <w:r>
        <w:rPr>
          <w:rFonts w:ascii="Times New Roman" w:cs="Times New Roman" w:eastAsia="Times New Roman" w:hAnsi="Times New Roman"/>
          <w:color w:val="1E293B"/>
          <w:sz w:val="32"/>
          <w:szCs w:val="32"/>
        </w:rPr>
        <w:t xml:space="preserve">AI-Powered Enterprise Software Asset Intelligence</w:t>
      </w:r>
    </w:p>
    <w:p>
      <w:pPr>
        <w:spacing w:before="1000"/>
      </w:pPr>
    </w:p>
    <w:p>
      <w:pPr>
        <w:spacing w:after="200"/>
        <w:jc w:val="center"/>
      </w:pPr>
      <w:r>
        <w:rPr>
          <w:rFonts w:ascii="Times New Roman" w:cs="Times New Roman" w:eastAsia="Times New Roman" w:hAnsi="Times New Roman"/>
          <w:color w:val="64748B"/>
          <w:sz w:val="24"/>
          <w:szCs w:val="24"/>
        </w:rPr>
        <w:t xml:space="preserve">Tamil Nadu National Level Government Hackathon</w:t>
      </w:r>
    </w:p>
    <w:p>
      <w:pPr>
        <w:spacing w:after="200"/>
        <w:jc w:val="center"/>
      </w:pPr>
      <w:r>
        <w:rPr>
          <w:rFonts w:ascii="Times New Roman" w:cs="Times New Roman" w:eastAsia="Times New Roman" w:hAnsi="Times New Roman"/>
          <w:color w:val="64748B"/>
          <w:sz w:val="22"/>
          <w:szCs w:val="22"/>
        </w:rPr>
        <w:t xml:space="preserve">Strategic Innovation &amp; Feasibility Document</w:t>
      </w:r>
    </w:p>
    <w:p>
      <w:pPr>
        <w:spacing w:before="2000"/>
      </w:pPr>
    </w:p>
    <w:p>
      <w:pPr>
        <w:jc w:val="center"/>
      </w:pPr>
      <w:r>
        <w:rPr>
          <w:rFonts w:ascii="Times New Roman" w:cs="Times New Roman" w:eastAsia="Times New Roman" w:hAnsi="Times New Roman"/>
          <w:color w:val="94A3B8"/>
          <w:sz w:val="20"/>
          <w:szCs w:val="20"/>
        </w:rPr>
        <w:t xml:space="preserve">Version 1.0 | 2025</w:t>
      </w:r>
    </w:p>
    <w:p>
      <w:pPr>
        <w:sectPr>
          <w:pgSz w:w="11906" w:h="16838" w:orient="portrait"/>
          <w:pgMar w:top="0" w:right="0" w:bottom="0" w:left="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pPr>
            <w:pStyle w:val="9"/>
            <w:tabs>
              <w:tab w:val="right" w:leader="dot" w:pos="9026"/>
            </w:tabs>
          </w:pPr>
          <w:r>
            <w:t>1. Executive Summary</w:t>
          </w:r>
          <w:r>
            <w:tab/>
          </w:r>
          <w:r>
            <w:t>3</w:t>
          </w:r>
        </w:p>
        <w:p>
          <w:pPr>
            <w:pStyle w:val="9"/>
            <w:tabs>
              <w:tab w:val="right" w:leader="dot" w:pos="9026"/>
            </w:tabs>
          </w:pPr>
          <w:r>
            <w:t>2. Market Research &amp; Problem Analysis</w:t>
          </w:r>
          <w:r>
            <w:tab/>
          </w:r>
          <w:r>
            <w:t>4</w:t>
          </w:r>
        </w:p>
        <w:p>
          <w:pPr>
            <w:pStyle w:val="11"/>
            <w:ind w:left="360"/>
            <w:tabs>
              <w:tab w:val="right" w:leader="dot" w:pos="9026"/>
            </w:tabs>
          </w:pPr>
          <w:r>
            <w:t>2.1 The SaaS Waste Crisis</w:t>
          </w:r>
          <w:r>
            <w:tab/>
          </w:r>
          <w:r>
            <w:t>4</w:t>
          </w:r>
        </w:p>
        <w:p>
          <w:pPr>
            <w:pStyle w:val="11"/>
            <w:ind w:left="360"/>
            <w:tabs>
              <w:tab w:val="right" w:leader="dot" w:pos="9026"/>
            </w:tabs>
          </w:pPr>
          <w:r>
            <w:t>2.2 Root Causes of SaaS Sprawl</w:t>
          </w:r>
          <w:r>
            <w:tab/>
          </w:r>
          <w:r>
            <w:t>5</w:t>
          </w:r>
        </w:p>
        <w:p>
          <w:pPr>
            <w:pStyle w:val="9"/>
            <w:tabs>
              <w:tab w:val="right" w:leader="dot" w:pos="9026"/>
            </w:tabs>
          </w:pPr>
          <w:r>
            <w:t>3. Competitive Landscape Analysis</w:t>
          </w:r>
          <w:r>
            <w:tab/>
          </w:r>
          <w:r>
            <w:t>6</w:t>
          </w:r>
        </w:p>
        <w:p>
          <w:pPr>
            <w:pStyle w:val="11"/>
            <w:ind w:left="360"/>
            <w:tabs>
              <w:tab w:val="right" w:leader="dot" w:pos="9026"/>
            </w:tabs>
          </w:pPr>
          <w:r>
            <w:t>3.1 Current Market Leaders</w:t>
          </w:r>
          <w:r>
            <w:tab/>
          </w:r>
          <w:r>
            <w:t>6</w:t>
          </w:r>
        </w:p>
        <w:p>
          <w:pPr>
            <w:pStyle w:val="9"/>
            <w:tabs>
              <w:tab w:val="right" w:leader="dot" w:pos="9026"/>
            </w:tabs>
          </w:pPr>
          <w:r>
            <w:t>4. Gap Analysis - Market Opportunities</w:t>
          </w:r>
          <w:r>
            <w:tab/>
          </w:r>
          <w:r>
            <w:t>8</w:t>
          </w:r>
        </w:p>
        <w:p>
          <w:pPr>
            <w:pStyle w:val="11"/>
            <w:ind w:left="360"/>
            <w:tabs>
              <w:tab w:val="right" w:leader="dot" w:pos="9026"/>
            </w:tabs>
          </w:pPr>
          <w:r>
            <w:t>4.1 Critical Gaps in Current Solutions</w:t>
          </w:r>
          <w:r>
            <w:tab/>
          </w:r>
          <w:r>
            <w:t>8</w:t>
          </w:r>
        </w:p>
        <w:p>
          <w:pPr>
            <w:pStyle w:val="11"/>
            <w:ind w:left="360"/>
            <w:tabs>
              <w:tab w:val="right" w:leader="dot" w:pos="9026"/>
            </w:tabs>
          </w:pPr>
          <w:r>
            <w:t>4.2 Innovation Opportunities</w:t>
          </w:r>
          <w:r>
            <w:tab/>
          </w:r>
          <w:r>
            <w:t>9</w:t>
          </w:r>
        </w:p>
        <w:p>
          <w:pPr>
            <w:pStyle w:val="9"/>
            <w:tabs>
              <w:tab w:val="right" w:leader="dot" w:pos="9026"/>
            </w:tabs>
          </w:pPr>
          <w:r>
            <w:t>5. Innovation Strategy &amp; Unique Value Proposition</w:t>
          </w:r>
          <w:r>
            <w:tab/>
          </w:r>
          <w:r>
            <w:t>10</w:t>
          </w:r>
        </w:p>
        <w:p>
          <w:pPr>
            <w:pStyle w:val="9"/>
            <w:tabs>
              <w:tab w:val="right" w:leader="dot" w:pos="9026"/>
            </w:tabs>
          </w:pPr>
          <w:r>
            <w:t>6. Technical Architecture &amp; Platform Features</w:t>
          </w:r>
          <w:r>
            <w:tab/>
          </w:r>
          <w:r>
            <w:t>12</w:t>
          </w:r>
        </w:p>
        <w:p>
          <w:pPr>
            <w:pStyle w:val="9"/>
            <w:tabs>
              <w:tab w:val="right" w:leader="dot" w:pos="9026"/>
            </w:tabs>
          </w:pPr>
          <w:r>
            <w:t>7. Government-Specific Value Proposition</w:t>
          </w:r>
          <w:r>
            <w:tab/>
          </w:r>
          <w:r>
            <w:t>14</w:t>
          </w:r>
        </w:p>
        <w:p>
          <w:pPr>
            <w:pStyle w:val="9"/>
            <w:tabs>
              <w:tab w:val="right" w:leader="dot" w:pos="9026"/>
            </w:tabs>
          </w:pPr>
          <w:r>
            <w:t>8. Implementation Roadmap</w:t>
          </w:r>
          <w:r>
            <w:tab/>
          </w:r>
          <w:r>
            <w:t>15</w:t>
          </w:r>
        </w:p>
        <w:p>
          <w:pPr>
            <w:pStyle w:val="9"/>
            <w:tabs>
              <w:tab w:val="right" w:leader="dot" w:pos="9026"/>
            </w:tabs>
          </w:pPr>
          <w:r>
            <w:t>9. Expected Outcomes &amp; Impact</w:t>
          </w:r>
          <w:r>
            <w:tab/>
          </w:r>
          <w:r>
            <w:t>17</w:t>
          </w:r>
        </w:p>
        <w:p>
          <w:pPr>
            <w:pStyle w:val="9"/>
            <w:tabs>
              <w:tab w:val="right" w:leader="dot" w:pos="9026"/>
            </w:tabs>
          </w:pPr>
          <w:r>
            <w:t>10. Conclusion</w:t>
          </w:r>
          <w:r>
            <w:tab/>
          </w:r>
          <w:r>
            <w:t>18</w:t>
          </w:r>
        </w:p>
        <w:p>
          <w:r>
            <w:fldChar w:fldCharType="end"/>
          </w:r>
        </w:p>
      </w:sdtContent>
    </w:sdt>
    <w:p>
      <w:pPr>
        <w:spacing w:before="200" w:after="400"/>
        <w:jc w:val="center"/>
      </w:pPr>
      <w:r>
        <w:rPr>
          <w:rFonts w:ascii="Times New Roman" w:cs="Times New Roman" w:eastAsia="Times New Roman" w:hAnsi="Times New Roman"/>
          <w:color w:val="999999"/>
          <w:sz w:val="18"/>
          <w:szCs w:val="18"/>
        </w:rPr>
        <w:t xml:space="preserve">Note: Right-click the Table of Contents and select 'Update Field' to refresh page numbers.</w:t>
      </w:r>
    </w:p>
    <w:p>
      <w:r>
        <w:br w:type="page"/>
      </w:r>
    </w:p>
    <w:p>
      <w:pPr>
        <w:pStyle w:val="Heading1"/>
      </w:pPr>
      <w:r>
        <w:t xml:space="preserve">1. Executive Summary</w:t>
      </w:r>
    </w:p>
    <w:p>
      <w:pPr>
        <w:spacing w:after="200" w:line="312"/>
      </w:pPr>
      <w:r>
        <w:rPr>
          <w:rFonts w:ascii="Times New Roman" w:cs="Times New Roman" w:eastAsia="Times New Roman" w:hAnsi="Times New Roman"/>
          <w:sz w:val="22"/>
          <w:szCs w:val="22"/>
        </w:rPr>
        <w:t xml:space="preserve">This document presents a comprehensive innovation strategy for developing an AI-powered SaaS Cost Optimization Platform designed specifically for government and enterprise environments. The platform addresses the critical challenge of spiraling software subscription costs across organizations, with research indicating that 38-50% of software licenses go unused, costing enterprises an average of $18 million annually in wasted SaaS spend. Our solution combines artificial intelligence, predictive analytics, and intelligent governance workflows to deliver sustained cost reduction while maintaining operational efficiency.</w:t>
      </w:r>
    </w:p>
    <w:p>
      <w:pPr>
        <w:spacing w:after="200" w:line="312"/>
      </w:pPr>
      <w:r>
        <w:rPr>
          <w:rFonts w:ascii="Times New Roman" w:cs="Times New Roman" w:eastAsia="Times New Roman" w:hAnsi="Times New Roman"/>
          <w:sz w:val="22"/>
          <w:szCs w:val="22"/>
        </w:rPr>
        <w:t xml:space="preserve">The innovation focuses on three key differentiators that set this platform apart from existing solutions: First, an AI-powered predictive analytics engine that anticipates renewal risks and automatically recommends optimization strategies before costs spiral. Second, a revolutionary "Shadow SaaS Detection" capability that identifies unapproved software acquisitions across departments, addressing a critical governance gap that current platforms overlook. Third, a government-specific compliance framework designed to meet the unique procurement and audit requirements of public sector organizations in India, with particular emphasis on Tamil Nadu's digital transformation initiatives.</w:t>
      </w:r>
    </w:p>
    <w:p>
      <w:pPr>
        <w:spacing w:after="200" w:line="312"/>
      </w:pPr>
      <w:r>
        <w:rPr>
          <w:rFonts w:ascii="Times New Roman" w:cs="Times New Roman" w:eastAsia="Times New Roman" w:hAnsi="Times New Roman"/>
          <w:sz w:val="22"/>
          <w:szCs w:val="22"/>
        </w:rPr>
        <w:t xml:space="preserve">The platform is positioned to deliver measurable impact: projected 25-40% reduction in SaaS waste, enhanced visibility into software utilization patterns, improved vendor negotiation leverage, and compliance with government procurement policies. This document provides a detailed analysis of market opportunities, competitive landscape, technical architecture, and implementation roadmap to establish the feasibility and innovation merit of this solution for the Tamil Nadu National Level Government Hackathon.</w:t>
      </w:r>
    </w:p>
    <w:p>
      <w:pPr>
        <w:pStyle w:val="Heading1"/>
      </w:pPr>
      <w:r>
        <w:t xml:space="preserve">2. Market Research &amp; Problem Analysis</w:t>
      </w:r>
    </w:p>
    <w:p>
      <w:pPr>
        <w:pStyle w:val="Heading2"/>
      </w:pPr>
      <w:r>
        <w:t xml:space="preserve">2.1 The SaaS Waste Crisis</w:t>
      </w:r>
    </w:p>
    <w:p>
      <w:pPr>
        <w:spacing w:after="200" w:line="312"/>
      </w:pPr>
      <w:r>
        <w:rPr>
          <w:rFonts w:ascii="Times New Roman" w:cs="Times New Roman" w:eastAsia="Times New Roman" w:hAnsi="Times New Roman"/>
          <w:sz w:val="22"/>
          <w:szCs w:val="22"/>
        </w:rPr>
        <w:t xml:space="preserve">The proliferation of Software-as-a-Service (SaaS) applications has fundamentally transformed how organizations operate, but this transformation has come with a significant and often invisible cost. Research from multiple industry sources reveals a startling picture of inefficiency that threatens organizational budgets and operational effectiveness. According to Nexthink research, an alarming 49% of all software goes completely unused within organizations, representing nearly half of software investments generating zero return. This finding is corroborated by LicenseLogic research, which indicates that 40% of licenses become unused within just 30 days of acquisition, suggesting that initial enthusiasm for new tools often fails to translate into sustained organizational adoption.</w:t>
      </w:r>
    </w:p>
    <w:p>
      <w:pPr>
        <w:spacing w:after="200" w:line="312"/>
      </w:pPr>
      <w:r>
        <w:rPr>
          <w:rFonts w:ascii="Times New Roman" w:cs="Times New Roman" w:eastAsia="Times New Roman" w:hAnsi="Times New Roman"/>
          <w:sz w:val="22"/>
          <w:szCs w:val="22"/>
        </w:rPr>
        <w:t xml:space="preserve">The financial implications are staggering. Industry data indicates that 30-50% of total software spend is effectively wasted, with companies losing an average of $18 million annually on unused SaaS subscriptions according to CFO Dive research. The IdleSeat SaaS Waste Calculator estimates that unused software licenses cost organizations over $28 billion annually on a global scale. Perhaps most concerning is that only 38% of organizations consider SaaS renewals as a key opportunity to reduce software costs, according to Zylo's 2026 SaaS Management Index, indicating a widespread failure to capitalize on optimization opportunities.</w:t>
      </w:r>
    </w:p>
    <w:p>
      <w:pPr>
        <w:pStyle w:val="Heading3"/>
      </w:pPr>
      <w:r>
        <w:t xml:space="preserve">Key Industry Statistics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5000"/>
        <w:gridCol w:w="4360"/>
      </w:tblGrid>
      <w:tr>
        <w:trPr>
          <w:tblHeader/>
        </w:trPr>
        <w:tc>
          <w:tcPr>
            <w:tcBorders>
              <w:top w:val="single" w:color="020617" w:sz="12"/>
              <w:left w:val="nil"/>
              <w:bottom w:val="single" w:color="020617" w:sz="12"/>
              <w:right w:val="nil"/>
            </w:tcBorders>
            <w:shd w:fill="F8FAFC" w:val="clear"/>
            <w:vAlign w:val="center"/>
          </w:tcPr>
          <w:p>
            <w:pPr>
              <w:jc w:val="center"/>
            </w:pPr>
            <w:r>
              <w:rPr>
                <w:rFonts w:ascii="Times New Roman" w:cs="Times New Roman" w:eastAsia="Times New Roman" w:hAnsi="Times New Roman"/>
                <w:b/>
                <w:bCs/>
                <w:sz w:val="22"/>
                <w:szCs w:val="22"/>
              </w:rPr>
              <w:t xml:space="preserve">Metric</w:t>
            </w:r>
          </w:p>
        </w:tc>
        <w:tc>
          <w:tcPr>
            <w:tcBorders>
              <w:top w:val="single" w:color="020617" w:sz="12"/>
              <w:left w:val="nil"/>
              <w:bottom w:val="single" w:color="020617" w:sz="12"/>
              <w:right w:val="nil"/>
            </w:tcBorders>
            <w:shd w:fill="F8FAFC" w:val="clear"/>
            <w:vAlign w:val="center"/>
          </w:tcPr>
          <w:p>
            <w:pPr>
              <w:jc w:val="center"/>
            </w:pPr>
            <w:r>
              <w:rPr>
                <w:rFonts w:ascii="Times New Roman" w:cs="Times New Roman" w:eastAsia="Times New Roman" w:hAnsi="Times New Roman"/>
                <w:b/>
                <w:bCs/>
                <w:sz w:val="22"/>
                <w:szCs w:val="22"/>
              </w:rPr>
              <w:t xml:space="preserve">Value</w:t>
            </w:r>
          </w:p>
        </w:tc>
      </w:tr>
      <w:tr>
        <w:tc>
          <w:tcPr>
            <w:tcBorders>
              <w:top w:val="single" w:color="020617" w:sz="12"/>
              <w:left w:val="nil"/>
              <w:bottom w:val="single" w:color="020617" w:sz="12"/>
              <w:right w:val="nil"/>
            </w:tcBorders>
          </w:tcPr>
          <w:p>
            <w:r>
              <w:rPr>
                <w:rFonts w:ascii="Times New Roman" w:cs="Times New Roman" w:eastAsia="Times New Roman" w:hAnsi="Times New Roman"/>
                <w:sz w:val="22"/>
                <w:szCs w:val="22"/>
              </w:rPr>
              <w:t xml:space="preserve">Software that goes completely unused</w:t>
            </w:r>
          </w:p>
        </w:tc>
        <w:tc>
          <w:tcPr>
            <w:tcBorders>
              <w:top w:val="single" w:color="020617" w:sz="12"/>
              <w:left w:val="nil"/>
              <w:bottom w:val="single" w:color="020617" w:sz="12"/>
              <w:right w:val="nil"/>
            </w:tcBorders>
          </w:tcPr>
          <w:p>
            <w:pPr>
              <w:jc w:val="center"/>
            </w:pPr>
            <w:r>
              <w:rPr>
                <w:rFonts w:ascii="Times New Roman" w:cs="Times New Roman" w:eastAsia="Times New Roman" w:hAnsi="Times New Roman"/>
                <w:sz w:val="22"/>
                <w:szCs w:val="22"/>
              </w:rPr>
              <w:t xml:space="preserve">49%</w:t>
            </w:r>
          </w:p>
        </w:tc>
      </w:tr>
      <w:tr>
        <w:tc>
          <w:tcPr>
            <w:tcBorders>
              <w:top w:val="single" w:color="020617" w:sz="12"/>
              <w:left w:val="nil"/>
              <w:bottom w:val="single" w:color="020617" w:sz="12"/>
              <w:right w:val="nil"/>
            </w:tcBorders>
          </w:tcPr>
          <w:p>
            <w:r>
              <w:rPr>
                <w:rFonts w:ascii="Times New Roman" w:cs="Times New Roman" w:eastAsia="Times New Roman" w:hAnsi="Times New Roman"/>
                <w:sz w:val="22"/>
                <w:szCs w:val="22"/>
              </w:rPr>
              <w:t xml:space="preserve">Licenses unused within 30 days</w:t>
            </w:r>
          </w:p>
        </w:tc>
        <w:tc>
          <w:tcPr>
            <w:tcBorders>
              <w:top w:val="single" w:color="020617" w:sz="12"/>
              <w:left w:val="nil"/>
              <w:bottom w:val="single" w:color="020617" w:sz="12"/>
              <w:right w:val="nil"/>
            </w:tcBorders>
          </w:tcPr>
          <w:p>
            <w:pPr>
              <w:jc w:val="center"/>
            </w:pPr>
            <w:r>
              <w:rPr>
                <w:rFonts w:ascii="Times New Roman" w:cs="Times New Roman" w:eastAsia="Times New Roman" w:hAnsi="Times New Roman"/>
                <w:sz w:val="22"/>
                <w:szCs w:val="22"/>
              </w:rPr>
              <w:t xml:space="preserve">40%</w:t>
            </w:r>
          </w:p>
        </w:tc>
      </w:tr>
      <w:tr>
        <w:tc>
          <w:tcPr>
            <w:tcBorders>
              <w:top w:val="single" w:color="020617" w:sz="12"/>
              <w:left w:val="nil"/>
              <w:bottom w:val="single" w:color="020617" w:sz="12"/>
              <w:right w:val="nil"/>
            </w:tcBorders>
          </w:tcPr>
          <w:p>
            <w:r>
              <w:rPr>
                <w:rFonts w:ascii="Times New Roman" w:cs="Times New Roman" w:eastAsia="Times New Roman" w:hAnsi="Times New Roman"/>
                <w:sz w:val="22"/>
                <w:szCs w:val="22"/>
              </w:rPr>
              <w:t xml:space="preserve">Software spend that is wasted</w:t>
            </w:r>
          </w:p>
        </w:tc>
        <w:tc>
          <w:tcPr>
            <w:tcBorders>
              <w:top w:val="single" w:color="020617" w:sz="12"/>
              <w:left w:val="nil"/>
              <w:bottom w:val="single" w:color="020617" w:sz="12"/>
              <w:right w:val="nil"/>
            </w:tcBorders>
          </w:tcPr>
          <w:p>
            <w:pPr>
              <w:jc w:val="center"/>
            </w:pPr>
            <w:r>
              <w:rPr>
                <w:rFonts w:ascii="Times New Roman" w:cs="Times New Roman" w:eastAsia="Times New Roman" w:hAnsi="Times New Roman"/>
                <w:sz w:val="22"/>
                <w:szCs w:val="22"/>
              </w:rPr>
              <w:t xml:space="preserve">30-50%</w:t>
            </w:r>
          </w:p>
        </w:tc>
      </w:tr>
      <w:tr>
        <w:tc>
          <w:tcPr>
            <w:tcBorders>
              <w:top w:val="single" w:color="020617" w:sz="12"/>
              <w:left w:val="nil"/>
              <w:bottom w:val="single" w:color="020617" w:sz="12"/>
              <w:right w:val="nil"/>
            </w:tcBorders>
          </w:tcPr>
          <w:p>
            <w:r>
              <w:rPr>
                <w:rFonts w:ascii="Times New Roman" w:cs="Times New Roman" w:eastAsia="Times New Roman" w:hAnsi="Times New Roman"/>
                <w:sz w:val="22"/>
                <w:szCs w:val="22"/>
              </w:rPr>
              <w:t xml:space="preserve">Average annual SaaS waste per enterprise</w:t>
            </w:r>
          </w:p>
        </w:tc>
        <w:tc>
          <w:tcPr>
            <w:tcBorders>
              <w:top w:val="single" w:color="020617" w:sz="12"/>
              <w:left w:val="nil"/>
              <w:bottom w:val="single" w:color="020617" w:sz="12"/>
              <w:right w:val="nil"/>
            </w:tcBorders>
          </w:tcPr>
          <w:p>
            <w:pPr>
              <w:jc w:val="center"/>
            </w:pPr>
            <w:r>
              <w:rPr>
                <w:rFonts w:ascii="Times New Roman" w:cs="Times New Roman" w:eastAsia="Times New Roman" w:hAnsi="Times New Roman"/>
                <w:sz w:val="22"/>
                <w:szCs w:val="22"/>
              </w:rPr>
              <w:t xml:space="preserve">$18 Million</w:t>
            </w:r>
          </w:p>
        </w:tc>
      </w:tr>
      <w:tr>
        <w:tc>
          <w:tcPr>
            <w:tcBorders>
              <w:top w:val="single" w:color="020617" w:sz="12"/>
              <w:left w:val="nil"/>
              <w:bottom w:val="single" w:color="020617" w:sz="12"/>
              <w:right w:val="nil"/>
            </w:tcBorders>
          </w:tcPr>
          <w:p>
            <w:r>
              <w:rPr>
                <w:rFonts w:ascii="Times New Roman" w:cs="Times New Roman" w:eastAsia="Times New Roman" w:hAnsi="Times New Roman"/>
                <w:sz w:val="22"/>
                <w:szCs w:val="22"/>
              </w:rPr>
              <w:t xml:space="preserve">Global annual cost of unused licenses</w:t>
            </w:r>
          </w:p>
        </w:tc>
        <w:tc>
          <w:tcPr>
            <w:tcBorders>
              <w:top w:val="single" w:color="020617" w:sz="12"/>
              <w:left w:val="nil"/>
              <w:bottom w:val="single" w:color="020617" w:sz="12"/>
              <w:right w:val="nil"/>
            </w:tcBorders>
          </w:tcPr>
          <w:p>
            <w:pPr>
              <w:jc w:val="center"/>
            </w:pPr>
            <w:r>
              <w:rPr>
                <w:rFonts w:ascii="Times New Roman" w:cs="Times New Roman" w:eastAsia="Times New Roman" w:hAnsi="Times New Roman"/>
                <w:sz w:val="22"/>
                <w:szCs w:val="22"/>
              </w:rPr>
              <w:t xml:space="preserve">$28+ Billion</w:t>
            </w:r>
          </w:p>
        </w:tc>
      </w:tr>
    </w:tbl>
    <w:p>
      <w:pPr>
        <w:spacing w:before="100" w:after="300"/>
        <w:jc w:val="center"/>
      </w:pPr>
      <w:r>
        <w:rPr>
          <w:rFonts w:ascii="Times New Roman" w:cs="Times New Roman" w:eastAsia="Times New Roman" w:hAnsi="Times New Roman"/>
          <w:i/>
          <w:iCs/>
          <w:color w:val="64748B"/>
          <w:sz w:val="18"/>
          <w:szCs w:val="18"/>
        </w:rPr>
        <w:t xml:space="preserve">Table 1: SaaS Waste Statistics from Industry Research</w:t>
      </w:r>
    </w:p>
    <w:p>
      <w:pPr>
        <w:pStyle w:val="Heading2"/>
      </w:pPr>
      <w:r>
        <w:t xml:space="preserve">2.2 Root Causes of SaaS Sprawl</w:t>
      </w:r>
    </w:p>
    <w:p>
      <w:pPr>
        <w:spacing w:after="200" w:line="312"/>
      </w:pPr>
      <w:r>
        <w:rPr>
          <w:rFonts w:ascii="Times New Roman" w:cs="Times New Roman" w:eastAsia="Times New Roman" w:hAnsi="Times New Roman"/>
          <w:sz w:val="22"/>
          <w:szCs w:val="22"/>
        </w:rPr>
        <w:t xml:space="preserve">Understanding the root causes of SaaS waste is essential for developing effective solutions. The phenomenon of "SaaS sprawl" emerges from multiple interconnected factors that create a perfect storm of inefficiency. First, decentralized procurement practices allow individual departments to independently adopt tools without central oversight, leading to overlapping functionality across teams. When marketing adopts one project management tool while engineering selects another and operations chooses a third, organizations end up paying for redundant capabilities that could be consolidated into a single enterprise solution.</w:t>
      </w:r>
    </w:p>
    <w:p>
      <w:pPr>
        <w:spacing w:after="200" w:line="312"/>
      </w:pPr>
      <w:r>
        <w:rPr>
          <w:rFonts w:ascii="Times New Roman" w:cs="Times New Roman" w:eastAsia="Times New Roman" w:hAnsi="Times New Roman"/>
          <w:sz w:val="22"/>
          <w:szCs w:val="22"/>
        </w:rPr>
        <w:t xml:space="preserve">Second, automatic renewals create a significant blind spot in cost management. Many SaaS contracts include evergreen renewal clauses that automatically extend subscriptions without active review. Combined with the busy schedules of IT and finance teams, this often results in renewals happening by default rather than through informed decision-making. Third, the lack of visibility into actual usage patterns means decision-makers cannot distinguish between essential tools and underutilized subscriptions. Without concrete data on login frequencies, feature adoption, and user engagement, organizations operate in the dark when making renewal decisions.</w:t>
      </w:r>
    </w:p>
    <w:p>
      <w:pPr>
        <w:spacing w:after="200" w:line="312"/>
      </w:pPr>
      <w:r>
        <w:rPr>
          <w:rFonts w:ascii="Times New Roman" w:cs="Times New Roman" w:eastAsia="Times New Roman" w:hAnsi="Times New Roman"/>
          <w:sz w:val="22"/>
          <w:szCs w:val="22"/>
        </w:rPr>
        <w:t xml:space="preserve">Fourth, employee turnover creates orphaned licenses that continue consuming budget long after the original user has departed. When employees leave organizations, their SaaS accounts often remain active because no systematic process exists to deprovision access and reallocate licenses. Fifth, the "Shadow IT" phenomenon sees employees adopting unapproved SaaS tools using personal credit cards or expense accounts, creating security vulnerabilities and duplicative spending that flies under the radar of traditional IT governance. These factors combine to create a complex challenge that requires a sophisticated, multi-faceted solution.</w:t>
      </w:r>
    </w:p>
    <w:p>
      <w:pPr>
        <w:pStyle w:val="Heading1"/>
      </w:pPr>
      <w:r>
        <w:t xml:space="preserve">3. Competitive Landscape Analysis</w:t>
      </w:r>
    </w:p>
    <w:p>
      <w:pPr>
        <w:pStyle w:val="Heading2"/>
      </w:pPr>
      <w:r>
        <w:t xml:space="preserve">3.1 Current Market Leaders</w:t>
      </w:r>
    </w:p>
    <w:p>
      <w:pPr>
        <w:spacing w:after="200" w:line="312"/>
      </w:pPr>
      <w:r>
        <w:rPr>
          <w:rFonts w:ascii="Times New Roman" w:cs="Times New Roman" w:eastAsia="Times New Roman" w:hAnsi="Times New Roman"/>
          <w:sz w:val="22"/>
          <w:szCs w:val="22"/>
        </w:rPr>
        <w:t xml:space="preserve">The SaaS management platform market has matured significantly over the past several years, with several established players dominating the space. BetterCloud stands as the recognized leader, achieving Leader status in Gartner's Magic Quadrant for SaaS Management Platforms for two consecutive years. The platform specializes in SaaS operations management with robust automation capabilities, data protection features, and real-time monitoring. BetterCloud's strength lies in its extensive integration library and workflow automation engine that enables IT teams to automate common administrative tasks across multiple SaaS applications.</w:t>
      </w:r>
    </w:p>
    <w:p>
      <w:pPr>
        <w:spacing w:after="200" w:line="312"/>
      </w:pPr>
      <w:r>
        <w:rPr>
          <w:rFonts w:ascii="Times New Roman" w:cs="Times New Roman" w:eastAsia="Times New Roman" w:hAnsi="Times New Roman"/>
          <w:sz w:val="22"/>
          <w:szCs w:val="22"/>
        </w:rPr>
        <w:t xml:space="preserve">Zylo has established itself as a major player with its focus on spend management and renewal optimization. The company's annual SaaS Management Index has become an industry benchmark, analyzing data from over 30 million SaaS licenses and $34 billion in SaaS spend. Zylo excels at providing financial visibility and helping organizations negotiate better terms with vendors based on actual usage data. Torii positions itself as a mid-market solution focused on discovery, spend tracking, and lifecycle management. The platform offers workflow automation and analytics capabilities designed for organizations that need robust functionality without enterprise-level complexity.</w:t>
      </w:r>
    </w:p>
    <w:p>
      <w:pPr>
        <w:spacing w:after="200" w:line="312"/>
      </w:pPr>
      <w:r>
        <w:rPr>
          <w:rFonts w:ascii="Times New Roman" w:cs="Times New Roman" w:eastAsia="Times New Roman" w:hAnsi="Times New Roman"/>
          <w:sz w:val="22"/>
          <w:szCs w:val="22"/>
        </w:rPr>
        <w:t xml:space="preserve">Productiv takes an analytics-first approach, emphasizing deep usage insights and adoption metrics. The platform helps organizations understand not just whether licenses are used, but how effectively they are used, enabling more nuanced decisions about which tools deserve investment. Zluri and Blissfully round out the competitive landscape with offerings that combine discovery, spend management, and workflow automation. Each platform has carved out specific strengths, but none has achieved comprehensive dominance across all functional areas.</w:t>
      </w:r>
    </w:p>
    <w:p>
      <w:pPr>
        <w:pStyle w:val="Heading3"/>
      </w:pPr>
      <w:r>
        <w:t xml:space="preserve">Competitive Feature Comparison</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2800"/>
        <w:gridCol w:w="1400"/>
        <w:gridCol w:w="1400"/>
        <w:gridCol w:w="1400"/>
        <w:gridCol w:w="2360"/>
      </w:tblGrid>
      <w:tr>
        <w:trPr>
          <w:tblHeader/>
        </w:trPr>
        <w:tc>
          <w:tcPr>
            <w:tcBorders>
              <w:top w:val="single" w:color="020617" w:sz="12"/>
              <w:left w:val="nil"/>
              <w:bottom w:val="single" w:color="020617" w:sz="12"/>
              <w:right w:val="nil"/>
            </w:tcBorders>
            <w:shd w:fill="F8FAFC" w:val="clear"/>
            <w:vAlign w:val="center"/>
          </w:tcPr>
          <w:p>
            <w:pPr>
              <w:jc w:val="center"/>
            </w:pPr>
            <w:r>
              <w:rPr>
                <w:rFonts w:ascii="Times New Roman" w:cs="Times New Roman" w:eastAsia="Times New Roman" w:hAnsi="Times New Roman"/>
                <w:b/>
                <w:bCs/>
                <w:sz w:val="20"/>
                <w:szCs w:val="20"/>
              </w:rPr>
              <w:t xml:space="preserve">Feature</w:t>
            </w:r>
          </w:p>
        </w:tc>
        <w:tc>
          <w:tcPr>
            <w:tcBorders>
              <w:top w:val="single" w:color="020617" w:sz="12"/>
              <w:left w:val="nil"/>
              <w:bottom w:val="single" w:color="020617" w:sz="12"/>
              <w:right w:val="nil"/>
            </w:tcBorders>
            <w:shd w:fill="F8FAFC" w:val="clear"/>
            <w:vAlign w:val="center"/>
          </w:tcPr>
          <w:p>
            <w:pPr>
              <w:jc w:val="center"/>
            </w:pPr>
            <w:r>
              <w:rPr>
                <w:rFonts w:ascii="Times New Roman" w:cs="Times New Roman" w:eastAsia="Times New Roman" w:hAnsi="Times New Roman"/>
                <w:b/>
                <w:bCs/>
                <w:sz w:val="20"/>
                <w:szCs w:val="20"/>
              </w:rPr>
              <w:t xml:space="preserve">BetterCloud</w:t>
            </w:r>
          </w:p>
        </w:tc>
        <w:tc>
          <w:tcPr>
            <w:tcBorders>
              <w:top w:val="single" w:color="020617" w:sz="12"/>
              <w:left w:val="nil"/>
              <w:bottom w:val="single" w:color="020617" w:sz="12"/>
              <w:right w:val="nil"/>
            </w:tcBorders>
            <w:shd w:fill="F8FAFC" w:val="clear"/>
            <w:vAlign w:val="center"/>
          </w:tcPr>
          <w:p>
            <w:pPr>
              <w:jc w:val="center"/>
            </w:pPr>
            <w:r>
              <w:rPr>
                <w:rFonts w:ascii="Times New Roman" w:cs="Times New Roman" w:eastAsia="Times New Roman" w:hAnsi="Times New Roman"/>
                <w:b/>
                <w:bCs/>
                <w:sz w:val="20"/>
                <w:szCs w:val="20"/>
              </w:rPr>
              <w:t xml:space="preserve">Zylo</w:t>
            </w:r>
          </w:p>
        </w:tc>
        <w:tc>
          <w:tcPr>
            <w:tcBorders>
              <w:top w:val="single" w:color="020617" w:sz="12"/>
              <w:left w:val="nil"/>
              <w:bottom w:val="single" w:color="020617" w:sz="12"/>
              <w:right w:val="nil"/>
            </w:tcBorders>
            <w:shd w:fill="F8FAFC" w:val="clear"/>
            <w:vAlign w:val="center"/>
          </w:tcPr>
          <w:p>
            <w:pPr>
              <w:jc w:val="center"/>
            </w:pPr>
            <w:r>
              <w:rPr>
                <w:rFonts w:ascii="Times New Roman" w:cs="Times New Roman" w:eastAsia="Times New Roman" w:hAnsi="Times New Roman"/>
                <w:b/>
                <w:bCs/>
                <w:sz w:val="20"/>
                <w:szCs w:val="20"/>
              </w:rPr>
              <w:t xml:space="preserve">Torii</w:t>
            </w:r>
          </w:p>
        </w:tc>
        <w:tc>
          <w:tcPr>
            <w:tcBorders>
              <w:top w:val="single" w:color="020617" w:sz="12"/>
              <w:left w:val="nil"/>
              <w:bottom w:val="single" w:color="020617" w:sz="12"/>
              <w:right w:val="nil"/>
            </w:tcBorders>
            <w:shd w:fill="E0F2FE" w:val="clear"/>
            <w:vAlign w:val="center"/>
          </w:tcPr>
          <w:p>
            <w:pPr>
              <w:jc w:val="center"/>
            </w:pPr>
            <w:r>
              <w:rPr>
                <w:rFonts w:ascii="Times New Roman" w:cs="Times New Roman" w:eastAsia="Times New Roman" w:hAnsi="Times New Roman"/>
                <w:b/>
                <w:bCs/>
                <w:sz w:val="20"/>
                <w:szCs w:val="20"/>
              </w:rPr>
              <w:t xml:space="preserve">Our Platform</w:t>
            </w:r>
          </w:p>
        </w:tc>
      </w:tr>
      <w:tr>
        <w:tc>
          <w:tcPr>
            <w:tcBorders>
              <w:top w:val="single" w:color="020617" w:sz="12"/>
              <w:left w:val="nil"/>
              <w:bottom w:val="single" w:color="020617" w:sz="12"/>
              <w:right w:val="nil"/>
            </w:tcBorders>
          </w:tcPr>
          <w:p>
            <w:r>
              <w:rPr>
                <w:rFonts w:ascii="Times New Roman" w:cs="Times New Roman" w:eastAsia="Times New Roman" w:hAnsi="Times New Roman"/>
                <w:sz w:val="18"/>
                <w:szCs w:val="18"/>
              </w:rPr>
              <w:t xml:space="preserve">Auto Discovery</w:t>
            </w:r>
          </w:p>
        </w:tc>
        <w:tc>
          <w:tcPr>
            <w:tcBorders>
              <w:top w:val="single" w:color="020617" w:sz="12"/>
              <w:left w:val="nil"/>
              <w:bottom w:val="single" w:color="020617" w:sz="12"/>
              <w:right w:val="nil"/>
            </w:tcBorders>
          </w:tcPr>
          <w:p>
            <w:pPr>
              <w:jc w:val="center"/>
            </w:pPr>
            <w:r>
              <w:rPr>
                <w:sz w:val="18"/>
                <w:szCs w:val="18"/>
              </w:rPr>
              <w:t xml:space="preserve">Yes</w:t>
            </w:r>
          </w:p>
        </w:tc>
        <w:tc>
          <w:tcPr>
            <w:tcBorders>
              <w:top w:val="single" w:color="020617" w:sz="12"/>
              <w:left w:val="nil"/>
              <w:bottom w:val="single" w:color="020617" w:sz="12"/>
              <w:right w:val="nil"/>
            </w:tcBorders>
          </w:tcPr>
          <w:p>
            <w:pPr>
              <w:jc w:val="center"/>
            </w:pPr>
            <w:r>
              <w:rPr>
                <w:sz w:val="18"/>
                <w:szCs w:val="18"/>
              </w:rPr>
              <w:t xml:space="preserve">Yes</w:t>
            </w:r>
          </w:p>
        </w:tc>
        <w:tc>
          <w:tcPr>
            <w:tcBorders>
              <w:top w:val="single" w:color="020617" w:sz="12"/>
              <w:left w:val="nil"/>
              <w:bottom w:val="single" w:color="020617" w:sz="12"/>
              <w:right w:val="nil"/>
            </w:tcBorders>
          </w:tcPr>
          <w:p>
            <w:pPr>
              <w:jc w:val="center"/>
            </w:pPr>
            <w:r>
              <w:rPr>
                <w:sz w:val="18"/>
                <w:szCs w:val="18"/>
              </w:rPr>
              <w:t xml:space="preserve">Yes</w:t>
            </w:r>
          </w:p>
        </w:tc>
        <w:tc>
          <w:tcPr>
            <w:tcBorders>
              <w:top w:val="single" w:color="020617" w:sz="12"/>
              <w:left w:val="nil"/>
              <w:bottom w:val="single" w:color="020617" w:sz="12"/>
              <w:right w:val="nil"/>
            </w:tcBorders>
            <w:shd w:fill="E0F2FE" w:val="clear"/>
          </w:tcPr>
          <w:p>
            <w:pPr>
              <w:jc w:val="center"/>
            </w:pPr>
            <w:r>
              <w:rPr>
                <w:b/>
                <w:bCs/>
                <w:sz w:val="18"/>
                <w:szCs w:val="18"/>
              </w:rPr>
              <w:t xml:space="preserve">Yes+</w:t>
            </w:r>
          </w:p>
        </w:tc>
      </w:tr>
      <w:tr>
        <w:tc>
          <w:tcPr>
            <w:tcBorders>
              <w:top w:val="single" w:color="020617" w:sz="12"/>
              <w:left w:val="nil"/>
              <w:bottom w:val="single" w:color="020617" w:sz="12"/>
              <w:right w:val="nil"/>
            </w:tcBorders>
          </w:tcPr>
          <w:p>
            <w:r>
              <w:rPr>
                <w:rFonts w:ascii="Times New Roman" w:cs="Times New Roman" w:eastAsia="Times New Roman" w:hAnsi="Times New Roman"/>
                <w:sz w:val="18"/>
                <w:szCs w:val="18"/>
              </w:rPr>
              <w:t xml:space="preserve">Usage Analytics</w:t>
            </w:r>
          </w:p>
        </w:tc>
        <w:tc>
          <w:tcPr>
            <w:tcBorders>
              <w:top w:val="single" w:color="020617" w:sz="12"/>
              <w:left w:val="nil"/>
              <w:bottom w:val="single" w:color="020617" w:sz="12"/>
              <w:right w:val="nil"/>
            </w:tcBorders>
          </w:tcPr>
          <w:p>
            <w:pPr>
              <w:jc w:val="center"/>
            </w:pPr>
            <w:r>
              <w:rPr>
                <w:sz w:val="18"/>
                <w:szCs w:val="18"/>
              </w:rPr>
              <w:t xml:space="preserve">Yes</w:t>
            </w:r>
          </w:p>
        </w:tc>
        <w:tc>
          <w:tcPr>
            <w:tcBorders>
              <w:top w:val="single" w:color="020617" w:sz="12"/>
              <w:left w:val="nil"/>
              <w:bottom w:val="single" w:color="020617" w:sz="12"/>
              <w:right w:val="nil"/>
            </w:tcBorders>
          </w:tcPr>
          <w:p>
            <w:pPr>
              <w:jc w:val="center"/>
            </w:pPr>
            <w:r>
              <w:rPr>
                <w:sz w:val="18"/>
                <w:szCs w:val="18"/>
              </w:rPr>
              <w:t xml:space="preserve">Yes</w:t>
            </w:r>
          </w:p>
        </w:tc>
        <w:tc>
          <w:tcPr>
            <w:tcBorders>
              <w:top w:val="single" w:color="020617" w:sz="12"/>
              <w:left w:val="nil"/>
              <w:bottom w:val="single" w:color="020617" w:sz="12"/>
              <w:right w:val="nil"/>
            </w:tcBorders>
          </w:tcPr>
          <w:p>
            <w:pPr>
              <w:jc w:val="center"/>
            </w:pPr>
            <w:r>
              <w:rPr>
                <w:sz w:val="18"/>
                <w:szCs w:val="18"/>
              </w:rPr>
              <w:t xml:space="preserve">Yes</w:t>
            </w:r>
          </w:p>
        </w:tc>
        <w:tc>
          <w:tcPr>
            <w:tcBorders>
              <w:top w:val="single" w:color="020617" w:sz="12"/>
              <w:left w:val="nil"/>
              <w:bottom w:val="single" w:color="020617" w:sz="12"/>
              <w:right w:val="nil"/>
            </w:tcBorders>
            <w:shd w:fill="E0F2FE" w:val="clear"/>
          </w:tcPr>
          <w:p>
            <w:pPr>
              <w:jc w:val="center"/>
            </w:pPr>
            <w:r>
              <w:rPr>
                <w:b/>
                <w:bCs/>
                <w:sz w:val="18"/>
                <w:szCs w:val="18"/>
              </w:rPr>
              <w:t xml:space="preserve">Yes+</w:t>
            </w:r>
          </w:p>
        </w:tc>
      </w:tr>
      <w:tr>
        <w:tc>
          <w:tcPr>
            <w:tcBorders>
              <w:top w:val="single" w:color="020617" w:sz="12"/>
              <w:left w:val="nil"/>
              <w:bottom w:val="single" w:color="020617" w:sz="12"/>
              <w:right w:val="nil"/>
            </w:tcBorders>
          </w:tcPr>
          <w:p>
            <w:r>
              <w:rPr>
                <w:rFonts w:ascii="Times New Roman" w:cs="Times New Roman" w:eastAsia="Times New Roman" w:hAnsi="Times New Roman"/>
                <w:sz w:val="18"/>
                <w:szCs w:val="18"/>
              </w:rPr>
              <w:t xml:space="preserve">AI Recommendations</w:t>
            </w:r>
          </w:p>
        </w:tc>
        <w:tc>
          <w:tcPr>
            <w:tcBorders>
              <w:top w:val="single" w:color="020617" w:sz="12"/>
              <w:left w:val="nil"/>
              <w:bottom w:val="single" w:color="020617" w:sz="12"/>
              <w:right w:val="nil"/>
            </w:tcBorders>
          </w:tcPr>
          <w:p>
            <w:pPr>
              <w:jc w:val="center"/>
            </w:pPr>
            <w:r>
              <w:rPr>
                <w:rFonts w:ascii="Times New Roman" w:cs="Times New Roman" w:eastAsia="Times New Roman" w:hAnsi="Times New Roman"/>
                <w:sz w:val="18"/>
                <w:szCs w:val="18"/>
              </w:rPr>
              <w:t xml:space="preserve">Basic</w:t>
            </w:r>
          </w:p>
        </w:tc>
        <w:tc>
          <w:tcPr>
            <w:tcBorders>
              <w:top w:val="single" w:color="020617" w:sz="12"/>
              <w:left w:val="nil"/>
              <w:bottom w:val="single" w:color="020617" w:sz="12"/>
              <w:right w:val="nil"/>
            </w:tcBorders>
          </w:tcPr>
          <w:p>
            <w:pPr>
              <w:jc w:val="center"/>
            </w:pPr>
            <w:r>
              <w:rPr>
                <w:rFonts w:ascii="Times New Roman" w:cs="Times New Roman" w:eastAsia="Times New Roman" w:hAnsi="Times New Roman"/>
                <w:sz w:val="18"/>
                <w:szCs w:val="18"/>
              </w:rPr>
              <w:t xml:space="preserve">Basic</w:t>
            </w:r>
          </w:p>
        </w:tc>
        <w:tc>
          <w:tcPr>
            <w:tcBorders>
              <w:top w:val="single" w:color="020617" w:sz="12"/>
              <w:left w:val="nil"/>
              <w:bottom w:val="single" w:color="020617" w:sz="12"/>
              <w:right w:val="nil"/>
            </w:tcBorders>
          </w:tcPr>
          <w:p>
            <w:pPr>
              <w:jc w:val="center"/>
            </w:pPr>
            <w:r>
              <w:rPr>
                <w:rFonts w:ascii="Times New Roman" w:cs="Times New Roman" w:eastAsia="Times New Roman" w:hAnsi="Times New Roman"/>
                <w:sz w:val="18"/>
                <w:szCs w:val="18"/>
              </w:rPr>
              <w:t xml:space="preserve">Basic</w:t>
            </w:r>
          </w:p>
        </w:tc>
        <w:tc>
          <w:tcPr>
            <w:tcBorders>
              <w:top w:val="single" w:color="020617" w:sz="12"/>
              <w:left w:val="nil"/>
              <w:bottom w:val="single" w:color="020617" w:sz="12"/>
              <w:right w:val="nil"/>
            </w:tcBorders>
            <w:shd w:fill="E0F2FE" w:val="clear"/>
          </w:tcPr>
          <w:p>
            <w:pPr>
              <w:jc w:val="center"/>
            </w:pPr>
            <w:r>
              <w:rPr>
                <w:b/>
                <w:bCs/>
                <w:sz w:val="18"/>
                <w:szCs w:val="18"/>
              </w:rPr>
              <w:t xml:space="preserve">Advanced</w:t>
            </w:r>
          </w:p>
        </w:tc>
      </w:tr>
      <w:tr>
        <w:tc>
          <w:tcPr>
            <w:tcBorders>
              <w:top w:val="single" w:color="020617" w:sz="12"/>
              <w:left w:val="nil"/>
              <w:bottom w:val="single" w:color="020617" w:sz="12"/>
              <w:right w:val="nil"/>
            </w:tcBorders>
          </w:tcPr>
          <w:p>
            <w:r>
              <w:rPr>
                <w:rFonts w:ascii="Times New Roman" w:cs="Times New Roman" w:eastAsia="Times New Roman" w:hAnsi="Times New Roman"/>
                <w:sz w:val="18"/>
                <w:szCs w:val="18"/>
              </w:rPr>
              <w:t xml:space="preserve">Shadow SaaS Detection</w:t>
            </w:r>
          </w:p>
        </w:tc>
        <w:tc>
          <w:tcPr>
            <w:tcBorders>
              <w:top w:val="single" w:color="020617" w:sz="12"/>
              <w:left w:val="nil"/>
              <w:bottom w:val="single" w:color="020617" w:sz="12"/>
              <w:right w:val="nil"/>
            </w:tcBorders>
          </w:tcPr>
          <w:p>
            <w:pPr>
              <w:jc w:val="center"/>
            </w:pPr>
            <w:r>
              <w:rPr>
                <w:sz w:val="18"/>
                <w:szCs w:val="18"/>
              </w:rPr>
              <w:t xml:space="preserve">No</w:t>
            </w:r>
          </w:p>
        </w:tc>
        <w:tc>
          <w:tcPr>
            <w:tcBorders>
              <w:top w:val="single" w:color="020617" w:sz="12"/>
              <w:left w:val="nil"/>
              <w:bottom w:val="single" w:color="020617" w:sz="12"/>
              <w:right w:val="nil"/>
            </w:tcBorders>
          </w:tcPr>
          <w:p>
            <w:pPr>
              <w:jc w:val="center"/>
            </w:pPr>
            <w:r>
              <w:rPr>
                <w:rFonts w:ascii="Times New Roman" w:cs="Times New Roman" w:eastAsia="Times New Roman" w:hAnsi="Times New Roman"/>
                <w:sz w:val="18"/>
                <w:szCs w:val="18"/>
              </w:rPr>
              <w:t xml:space="preserve">Partial</w:t>
            </w:r>
          </w:p>
        </w:tc>
        <w:tc>
          <w:tcPr>
            <w:tcBorders>
              <w:top w:val="single" w:color="020617" w:sz="12"/>
              <w:left w:val="nil"/>
              <w:bottom w:val="single" w:color="020617" w:sz="12"/>
              <w:right w:val="nil"/>
            </w:tcBorders>
          </w:tcPr>
          <w:p>
            <w:pPr>
              <w:jc w:val="center"/>
            </w:pPr>
            <w:r>
              <w:rPr>
                <w:sz w:val="18"/>
                <w:szCs w:val="18"/>
              </w:rPr>
              <w:t xml:space="preserve">No</w:t>
            </w:r>
          </w:p>
        </w:tc>
        <w:tc>
          <w:tcPr>
            <w:tcBorders>
              <w:top w:val="single" w:color="020617" w:sz="12"/>
              <w:left w:val="nil"/>
              <w:bottom w:val="single" w:color="020617" w:sz="12"/>
              <w:right w:val="nil"/>
            </w:tcBorders>
            <w:shd w:fill="E0F2FE" w:val="clear"/>
          </w:tcPr>
          <w:p>
            <w:pPr>
              <w:jc w:val="center"/>
            </w:pPr>
            <w:r>
              <w:rPr>
                <w:b/>
                <w:bCs/>
                <w:sz w:val="18"/>
                <w:szCs w:val="18"/>
              </w:rPr>
              <w:t xml:space="preserve">Yes</w:t>
            </w:r>
          </w:p>
        </w:tc>
      </w:tr>
      <w:tr>
        <w:tc>
          <w:tcPr>
            <w:tcBorders>
              <w:top w:val="single" w:color="020617" w:sz="12"/>
              <w:left w:val="nil"/>
              <w:bottom w:val="single" w:color="020617" w:sz="12"/>
              <w:right w:val="nil"/>
            </w:tcBorders>
          </w:tcPr>
          <w:p>
            <w:r>
              <w:rPr>
                <w:rFonts w:ascii="Times New Roman" w:cs="Times New Roman" w:eastAsia="Times New Roman" w:hAnsi="Times New Roman"/>
                <w:sz w:val="18"/>
                <w:szCs w:val="18"/>
              </w:rPr>
              <w:t xml:space="preserve">Predictive Analytics</w:t>
            </w:r>
          </w:p>
        </w:tc>
        <w:tc>
          <w:tcPr>
            <w:tcBorders>
              <w:top w:val="single" w:color="020617" w:sz="12"/>
              <w:left w:val="nil"/>
              <w:bottom w:val="single" w:color="020617" w:sz="12"/>
              <w:right w:val="nil"/>
            </w:tcBorders>
          </w:tcPr>
          <w:p>
            <w:pPr>
              <w:jc w:val="center"/>
            </w:pPr>
            <w:r>
              <w:rPr>
                <w:sz w:val="18"/>
                <w:szCs w:val="18"/>
              </w:rPr>
              <w:t xml:space="preserve">No</w:t>
            </w:r>
          </w:p>
        </w:tc>
        <w:tc>
          <w:tcPr>
            <w:tcBorders>
              <w:top w:val="single" w:color="020617" w:sz="12"/>
              <w:left w:val="nil"/>
              <w:bottom w:val="single" w:color="020617" w:sz="12"/>
              <w:right w:val="nil"/>
            </w:tcBorders>
          </w:tcPr>
          <w:p>
            <w:pPr>
              <w:jc w:val="center"/>
            </w:pPr>
            <w:r>
              <w:rPr>
                <w:sz w:val="18"/>
                <w:szCs w:val="18"/>
              </w:rPr>
              <w:t xml:space="preserve">No</w:t>
            </w:r>
          </w:p>
        </w:tc>
        <w:tc>
          <w:tcPr>
            <w:tcBorders>
              <w:top w:val="single" w:color="020617" w:sz="12"/>
              <w:left w:val="nil"/>
              <w:bottom w:val="single" w:color="020617" w:sz="12"/>
              <w:right w:val="nil"/>
            </w:tcBorders>
          </w:tcPr>
          <w:p>
            <w:pPr>
              <w:jc w:val="center"/>
            </w:pPr>
            <w:r>
              <w:rPr>
                <w:sz w:val="18"/>
                <w:szCs w:val="18"/>
              </w:rPr>
              <w:t xml:space="preserve">No</w:t>
            </w:r>
          </w:p>
        </w:tc>
        <w:tc>
          <w:tcPr>
            <w:tcBorders>
              <w:top w:val="single" w:color="020617" w:sz="12"/>
              <w:left w:val="nil"/>
              <w:bottom w:val="single" w:color="020617" w:sz="12"/>
              <w:right w:val="nil"/>
            </w:tcBorders>
            <w:shd w:fill="E0F2FE" w:val="clear"/>
          </w:tcPr>
          <w:p>
            <w:pPr>
              <w:jc w:val="center"/>
            </w:pPr>
            <w:r>
              <w:rPr>
                <w:b/>
                <w:bCs/>
                <w:sz w:val="18"/>
                <w:szCs w:val="18"/>
              </w:rPr>
              <w:t xml:space="preserve">Yes</w:t>
            </w:r>
          </w:p>
        </w:tc>
      </w:tr>
      <w:tr>
        <w:tc>
          <w:tcPr>
            <w:tcBorders>
              <w:top w:val="single" w:color="020617" w:sz="12"/>
              <w:left w:val="nil"/>
              <w:bottom w:val="single" w:color="020617" w:sz="12"/>
              <w:right w:val="nil"/>
            </w:tcBorders>
          </w:tcPr>
          <w:p>
            <w:r>
              <w:rPr>
                <w:rFonts w:ascii="Times New Roman" w:cs="Times New Roman" w:eastAsia="Times New Roman" w:hAnsi="Times New Roman"/>
                <w:sz w:val="18"/>
                <w:szCs w:val="18"/>
              </w:rPr>
              <w:t xml:space="preserve">Govt. Compliance</w:t>
            </w:r>
          </w:p>
        </w:tc>
        <w:tc>
          <w:tcPr>
            <w:tcBorders>
              <w:top w:val="single" w:color="020617" w:sz="12"/>
              <w:left w:val="nil"/>
              <w:bottom w:val="single" w:color="020617" w:sz="12"/>
              <w:right w:val="nil"/>
            </w:tcBorders>
          </w:tcPr>
          <w:p>
            <w:pPr>
              <w:jc w:val="center"/>
            </w:pPr>
            <w:r>
              <w:rPr>
                <w:sz w:val="18"/>
                <w:szCs w:val="18"/>
              </w:rPr>
              <w:t xml:space="preserve">No</w:t>
            </w:r>
          </w:p>
        </w:tc>
        <w:tc>
          <w:tcPr>
            <w:tcBorders>
              <w:top w:val="single" w:color="020617" w:sz="12"/>
              <w:left w:val="nil"/>
              <w:bottom w:val="single" w:color="020617" w:sz="12"/>
              <w:right w:val="nil"/>
            </w:tcBorders>
          </w:tcPr>
          <w:p>
            <w:pPr>
              <w:jc w:val="center"/>
            </w:pPr>
            <w:r>
              <w:rPr>
                <w:sz w:val="18"/>
                <w:szCs w:val="18"/>
              </w:rPr>
              <w:t xml:space="preserve">No</w:t>
            </w:r>
          </w:p>
        </w:tc>
        <w:tc>
          <w:tcPr>
            <w:tcBorders>
              <w:top w:val="single" w:color="020617" w:sz="12"/>
              <w:left w:val="nil"/>
              <w:bottom w:val="single" w:color="020617" w:sz="12"/>
              <w:right w:val="nil"/>
            </w:tcBorders>
          </w:tcPr>
          <w:p>
            <w:pPr>
              <w:jc w:val="center"/>
            </w:pPr>
            <w:r>
              <w:rPr>
                <w:sz w:val="18"/>
                <w:szCs w:val="18"/>
              </w:rPr>
              <w:t xml:space="preserve">No</w:t>
            </w:r>
          </w:p>
        </w:tc>
        <w:tc>
          <w:tcPr>
            <w:tcBorders>
              <w:top w:val="single" w:color="020617" w:sz="12"/>
              <w:left w:val="nil"/>
              <w:bottom w:val="single" w:color="020617" w:sz="12"/>
              <w:right w:val="nil"/>
            </w:tcBorders>
            <w:shd w:fill="E0F2FE" w:val="clear"/>
          </w:tcPr>
          <w:p>
            <w:pPr>
              <w:jc w:val="center"/>
            </w:pPr>
            <w:r>
              <w:rPr>
                <w:b/>
                <w:bCs/>
                <w:sz w:val="18"/>
                <w:szCs w:val="18"/>
              </w:rPr>
              <w:t xml:space="preserve">Yes</w:t>
            </w:r>
          </w:p>
        </w:tc>
      </w:tr>
      <w:tr>
        <w:tc>
          <w:tcPr>
            <w:tcBorders>
              <w:top w:val="single" w:color="020617" w:sz="12"/>
              <w:left w:val="nil"/>
              <w:bottom w:val="single" w:color="020617" w:sz="12"/>
              <w:right w:val="nil"/>
            </w:tcBorders>
          </w:tcPr>
          <w:p>
            <w:r>
              <w:rPr>
                <w:rFonts w:ascii="Times New Roman" w:cs="Times New Roman" w:eastAsia="Times New Roman" w:hAnsi="Times New Roman"/>
                <w:sz w:val="18"/>
                <w:szCs w:val="18"/>
              </w:rPr>
              <w:t xml:space="preserve">Savings Simulator</w:t>
            </w:r>
          </w:p>
        </w:tc>
        <w:tc>
          <w:tcPr>
            <w:tcBorders>
              <w:top w:val="single" w:color="020617" w:sz="12"/>
              <w:left w:val="nil"/>
              <w:bottom w:val="single" w:color="020617" w:sz="12"/>
              <w:right w:val="nil"/>
            </w:tcBorders>
          </w:tcPr>
          <w:p>
            <w:pPr>
              <w:jc w:val="center"/>
            </w:pPr>
            <w:r>
              <w:rPr>
                <w:sz w:val="18"/>
                <w:szCs w:val="18"/>
              </w:rPr>
              <w:t xml:space="preserve">No</w:t>
            </w:r>
          </w:p>
        </w:tc>
        <w:tc>
          <w:tcPr>
            <w:tcBorders>
              <w:top w:val="single" w:color="020617" w:sz="12"/>
              <w:left w:val="nil"/>
              <w:bottom w:val="single" w:color="020617" w:sz="12"/>
              <w:right w:val="nil"/>
            </w:tcBorders>
          </w:tcPr>
          <w:p>
            <w:pPr>
              <w:jc w:val="center"/>
            </w:pPr>
            <w:r>
              <w:rPr>
                <w:rFonts w:ascii="Times New Roman" w:cs="Times New Roman" w:eastAsia="Times New Roman" w:hAnsi="Times New Roman"/>
                <w:sz w:val="18"/>
                <w:szCs w:val="18"/>
              </w:rPr>
              <w:t xml:space="preserve">Basic</w:t>
            </w:r>
          </w:p>
        </w:tc>
        <w:tc>
          <w:tcPr>
            <w:tcBorders>
              <w:top w:val="single" w:color="020617" w:sz="12"/>
              <w:left w:val="nil"/>
              <w:bottom w:val="single" w:color="020617" w:sz="12"/>
              <w:right w:val="nil"/>
            </w:tcBorders>
          </w:tcPr>
          <w:p>
            <w:pPr>
              <w:jc w:val="center"/>
            </w:pPr>
            <w:r>
              <w:rPr>
                <w:sz w:val="18"/>
                <w:szCs w:val="18"/>
              </w:rPr>
              <w:t xml:space="preserve">No</w:t>
            </w:r>
          </w:p>
        </w:tc>
        <w:tc>
          <w:tcPr>
            <w:tcBorders>
              <w:top w:val="single" w:color="020617" w:sz="12"/>
              <w:left w:val="nil"/>
              <w:bottom w:val="single" w:color="020617" w:sz="12"/>
              <w:right w:val="nil"/>
            </w:tcBorders>
            <w:shd w:fill="E0F2FE" w:val="clear"/>
          </w:tcPr>
          <w:p>
            <w:pPr>
              <w:jc w:val="center"/>
            </w:pPr>
            <w:r>
              <w:rPr>
                <w:b/>
                <w:bCs/>
                <w:sz w:val="18"/>
                <w:szCs w:val="18"/>
              </w:rPr>
              <w:t xml:space="preserve">Yes</w:t>
            </w:r>
          </w:p>
        </w:tc>
      </w:tr>
    </w:tbl>
    <w:p>
      <w:pPr>
        <w:spacing w:before="100" w:after="300"/>
        <w:jc w:val="center"/>
      </w:pPr>
      <w:r>
        <w:rPr>
          <w:rFonts w:ascii="Times New Roman" w:cs="Times New Roman" w:eastAsia="Times New Roman" w:hAnsi="Times New Roman"/>
          <w:i/>
          <w:iCs/>
          <w:color w:val="64748B"/>
          <w:sz w:val="18"/>
          <w:szCs w:val="18"/>
        </w:rPr>
        <w:t xml:space="preserve">Table 2: Competitive Feature Comparison Matrix</w:t>
      </w:r>
    </w:p>
    <w:p>
      <w:pPr>
        <w:pStyle w:val="Heading1"/>
      </w:pPr>
      <w:r>
        <w:t xml:space="preserve">4. Gap Analysis - Market Opportunities</w:t>
      </w:r>
    </w:p>
    <w:p>
      <w:pPr>
        <w:pStyle w:val="Heading2"/>
      </w:pPr>
      <w:r>
        <w:t xml:space="preserve">4.1 Critical Gaps in Current Solutions</w:t>
      </w:r>
    </w:p>
    <w:p>
      <w:pPr>
        <w:spacing w:after="200" w:line="312"/>
      </w:pPr>
      <w:r>
        <w:rPr>
          <w:rFonts w:ascii="Times New Roman" w:cs="Times New Roman" w:eastAsia="Times New Roman" w:hAnsi="Times New Roman"/>
          <w:sz w:val="22"/>
          <w:szCs w:val="22"/>
        </w:rPr>
        <w:t xml:space="preserve">Our comprehensive analysis of existing SaaS management platforms reveals several critical gaps that represent significant opportunities for innovation. The most substantial gap exists in the realm of predictive analytics and proactive optimization. Current platforms operate primarily in reactive mode, identifying problems after they have already occurred and costs have been incurred. There is no forward-looking capability to anticipate renewal risks, predict usage patterns, or recommend preemptive actions that could prevent waste before it materializes. This reactive approach means organizations are always playing catch-up rather than staying ahead of cost optimization opportunities.</w:t>
      </w:r>
    </w:p>
    <w:p>
      <w:pPr>
        <w:spacing w:after="200" w:line="312"/>
      </w:pPr>
      <w:r>
        <w:rPr>
          <w:rFonts w:ascii="Times New Roman" w:cs="Times New Roman" w:eastAsia="Times New Roman" w:hAnsi="Times New Roman"/>
          <w:sz w:val="22"/>
          <w:szCs w:val="22"/>
        </w:rPr>
        <w:t xml:space="preserve">A second major gap concerns the "SaaS Governance Gap" identified by recent industry research. Shadow SaaS applications proliferate within organizations through employee expense accounts and personal credit card purchases, completely bypassing IT oversight and governance processes. Current platforms have limited capability to detect these unauthorized acquisitions, leaving organizations vulnerable to security risks, compliance violations, and duplicate spending. This represents a fundamental blind spot that undermines the effectiveness of traditional SaaS management approaches.</w:t>
      </w:r>
    </w:p>
    <w:p>
      <w:pPr>
        <w:spacing w:after="200" w:line="312"/>
      </w:pPr>
      <w:r>
        <w:rPr>
          <w:rFonts w:ascii="Times New Roman" w:cs="Times New Roman" w:eastAsia="Times New Roman" w:hAnsi="Times New Roman"/>
          <w:sz w:val="22"/>
          <w:szCs w:val="22"/>
        </w:rPr>
        <w:t xml:space="preserve">Third, existing solutions lack sophisticated scenario planning capabilities. While platforms can show current waste and suggest optimizations, they cannot model the impact of different decisions or help stakeholders understand the trade-offs involved in various consolidation strategies. Decision-makers need to answer questions like "What happens if we migrate all project management tools to a single platform?" or "How much would we save by downgrading 30% of our enterprise licenses to standard tiers?" Current platforms provide limited support for this type of strategic analysis.</w:t>
      </w:r>
    </w:p>
    <w:p>
      <w:pPr>
        <w:spacing w:after="200" w:line="312"/>
      </w:pPr>
      <w:r>
        <w:rPr>
          <w:rFonts w:ascii="Times New Roman" w:cs="Times New Roman" w:eastAsia="Times New Roman" w:hAnsi="Times New Roman"/>
          <w:sz w:val="22"/>
          <w:szCs w:val="22"/>
        </w:rPr>
        <w:t xml:space="preserve">Fourth, government and public sector organizations face unique challenges that current platforms do not adequately address. Government procurement processes involve specific compliance requirements, budget cycle constraints, and audit trails that differ significantly from private sector practices. Existing platforms were designed primarily for enterprise customers and lack the specialized features needed by government agencies, particularly in the Indian context where digital transformation initiatives like those in Tamil Nadu require aligned technology solutions.</w:t>
      </w:r>
    </w:p>
    <w:p>
      <w:pPr>
        <w:pStyle w:val="Heading2"/>
      </w:pPr>
      <w:r>
        <w:t xml:space="preserve">4.2 Innovation Opportunities</w:t>
      </w:r>
    </w:p>
    <w:p>
      <w:pPr>
        <w:spacing w:after="150" w:line="312"/>
      </w:pPr>
      <w:r>
        <w:rPr>
          <w:rFonts w:ascii="Times New Roman" w:cs="Times New Roman" w:eastAsia="Times New Roman" w:hAnsi="Times New Roman"/>
          <w:sz w:val="22"/>
          <w:szCs w:val="22"/>
        </w:rPr>
        <w:t xml:space="preserve">Based on our gap analysis, we have identified five major innovation opportunities that form the foundation of our platform strategy:</w:t>
      </w:r>
    </w:p>
    <w:p>
      <w:pPr>
        <w:pStyle w:val="ListParagraph"/>
        <w:numPr>
          <w:ilvl w:val="0"/>
          <w:numId w:val="2"/>
        </w:numPr>
        <w:spacing w:after="150" w:line="312"/>
      </w:pPr>
      <w:r>
        <w:rPr>
          <w:rFonts w:ascii="Times New Roman" w:cs="Times New Roman" w:eastAsia="Times New Roman" w:hAnsi="Times New Roman"/>
          <w:b/>
          <w:bCs/>
          <w:sz w:val="22"/>
          <w:szCs w:val="22"/>
        </w:rPr>
        <w:t xml:space="preserve">AI-Powered Predictive Engine: </w:t>
      </w:r>
      <w:r>
        <w:rPr>
          <w:rFonts w:ascii="Times New Roman" w:cs="Times New Roman" w:eastAsia="Times New Roman" w:hAnsi="Times New Roman"/>
          <w:sz w:val="22"/>
          <w:szCs w:val="22"/>
        </w:rPr>
        <w:t xml:space="preserve">Implementing machine learning models that analyze historical usage patterns, renewal calendars, and organizational changes to predict future optimization opportunities and risks. This transforms SaaS management from reactive to proactive, enabling organizations to act before costs escalate.</w:t>
      </w:r>
    </w:p>
    <w:p>
      <w:pPr>
        <w:pStyle w:val="ListParagraph"/>
        <w:numPr>
          <w:ilvl w:val="0"/>
          <w:numId w:val="2"/>
        </w:numPr>
        <w:spacing w:after="150" w:line="312"/>
      </w:pPr>
      <w:r>
        <w:rPr>
          <w:rFonts w:ascii="Times New Roman" w:cs="Times New Roman" w:eastAsia="Times New Roman" w:hAnsi="Times New Roman"/>
          <w:b/>
          <w:bCs/>
          <w:sz w:val="22"/>
          <w:szCs w:val="22"/>
        </w:rPr>
        <w:t xml:space="preserve">Shadow SaaS Intelligence: </w:t>
      </w:r>
      <w:r>
        <w:rPr>
          <w:rFonts w:ascii="Times New Roman" w:cs="Times New Roman" w:eastAsia="Times New Roman" w:hAnsi="Times New Roman"/>
          <w:sz w:val="22"/>
          <w:szCs w:val="22"/>
        </w:rPr>
        <w:t xml:space="preserve">Developing advanced detection capabilities that integrate with expense management systems, browser telemetry, and network analysis to identify unauthorized SaaS acquisitions. This addresses the governance gap that current platforms overlook.</w:t>
      </w:r>
    </w:p>
    <w:p>
      <w:pPr>
        <w:pStyle w:val="ListParagraph"/>
        <w:numPr>
          <w:ilvl w:val="0"/>
          <w:numId w:val="2"/>
        </w:numPr>
        <w:spacing w:after="150" w:line="312"/>
      </w:pPr>
      <w:r>
        <w:rPr>
          <w:rFonts w:ascii="Times New Roman" w:cs="Times New Roman" w:eastAsia="Times New Roman" w:hAnsi="Times New Roman"/>
          <w:b/>
          <w:bCs/>
          <w:sz w:val="22"/>
          <w:szCs w:val="22"/>
        </w:rPr>
        <w:t xml:space="preserve">Interactive Savings Simulator: </w:t>
      </w:r>
      <w:r>
        <w:rPr>
          <w:rFonts w:ascii="Times New Roman" w:cs="Times New Roman" w:eastAsia="Times New Roman" w:hAnsi="Times New Roman"/>
          <w:sz w:val="22"/>
          <w:szCs w:val="22"/>
        </w:rPr>
        <w:t xml:space="preserve">Creating a what-if analysis tool that models the financial and operational impact of different optimization scenarios. This empowers decision-makers with the information needed to make confident, data-driven consolidation decisions.</w:t>
      </w:r>
    </w:p>
    <w:p>
      <w:pPr>
        <w:pStyle w:val="ListParagraph"/>
        <w:numPr>
          <w:ilvl w:val="0"/>
          <w:numId w:val="2"/>
        </w:numPr>
        <w:spacing w:after="150" w:line="312"/>
      </w:pPr>
      <w:r>
        <w:rPr>
          <w:rFonts w:ascii="Times New Roman" w:cs="Times New Roman" w:eastAsia="Times New Roman" w:hAnsi="Times New Roman"/>
          <w:b/>
          <w:bCs/>
          <w:sz w:val="22"/>
          <w:szCs w:val="22"/>
        </w:rPr>
        <w:t xml:space="preserve">Government Compliance Framework: </w:t>
      </w:r>
      <w:r>
        <w:rPr>
          <w:rFonts w:ascii="Times New Roman" w:cs="Times New Roman" w:eastAsia="Times New Roman" w:hAnsi="Times New Roman"/>
          <w:sz w:val="22"/>
          <w:szCs w:val="22"/>
        </w:rPr>
        <w:t xml:space="preserve">Building specialized features for public sector organizations including procurement workflow integration, budget cycle alignment, audit-ready reporting, and compliance with Indian government IT policies.</w:t>
      </w:r>
    </w:p>
    <w:p>
      <w:pPr>
        <w:pStyle w:val="ListParagraph"/>
        <w:numPr>
          <w:ilvl w:val="0"/>
          <w:numId w:val="2"/>
        </w:numPr>
        <w:spacing w:after="200" w:line="312"/>
      </w:pPr>
      <w:r>
        <w:rPr>
          <w:rFonts w:ascii="Times New Roman" w:cs="Times New Roman" w:eastAsia="Times New Roman" w:hAnsi="Times New Roman"/>
          <w:b/>
          <w:bCs/>
          <w:sz w:val="22"/>
          <w:szCs w:val="22"/>
        </w:rPr>
        <w:t xml:space="preserve">Contextual AI Recommendations: </w:t>
      </w:r>
      <w:r>
        <w:rPr>
          <w:rFonts w:ascii="Times New Roman" w:cs="Times New Roman" w:eastAsia="Times New Roman" w:hAnsi="Times New Roman"/>
          <w:sz w:val="22"/>
          <w:szCs w:val="22"/>
        </w:rPr>
        <w:t xml:space="preserve">Moving beyond basic alerts to provide AI-generated recommendations that explain the reasoning behind each suggestion, quantify expected benefits, and provide step-by-step implementation guidance.</w:t>
      </w:r>
    </w:p>
    <w:p>
      <w:pPr>
        <w:pStyle w:val="Heading1"/>
      </w:pPr>
      <w:r>
        <w:t xml:space="preserve">5. Innovation Strategy &amp; Unique Value Proposition</w:t>
      </w:r>
    </w:p>
    <w:p>
      <w:pPr>
        <w:pStyle w:val="Heading2"/>
      </w:pPr>
      <w:r>
        <w:t xml:space="preserve">5.1 Core Innovation Pillars</w:t>
      </w:r>
    </w:p>
    <w:p>
      <w:pPr>
        <w:spacing w:after="200" w:line="312"/>
      </w:pPr>
      <w:r>
        <w:rPr>
          <w:rFonts w:ascii="Times New Roman" w:cs="Times New Roman" w:eastAsia="Times New Roman" w:hAnsi="Times New Roman"/>
          <w:sz w:val="22"/>
          <w:szCs w:val="22"/>
        </w:rPr>
        <w:t xml:space="preserve">Our innovation strategy is built upon four core pillars that collectively create a differentiated and defensible market position. The first pillar is Predictive Intelligence, which leverages machine learning algorithms trained on usage patterns, renewal histories, and organizational dynamics to anticipate optimization opportunities. Unlike current platforms that tell you what happened, our system tells you what will happen and what actions you should take today to optimize outcomes. This predictive capability transforms SaaS management from a cost center monitoring function into a strategic cost optimization discipline.</w:t>
      </w:r>
    </w:p>
    <w:p>
      <w:pPr>
        <w:spacing w:after="200" w:line="312"/>
      </w:pPr>
      <w:r>
        <w:rPr>
          <w:rFonts w:ascii="Times New Roman" w:cs="Times New Roman" w:eastAsia="Times New Roman" w:hAnsi="Times New Roman"/>
          <w:sz w:val="22"/>
          <w:szCs w:val="22"/>
        </w:rPr>
        <w:t xml:space="preserve">The second pillar is Governance Automation, which addresses the shadow SaaS problem through intelligent detection and policy enforcement. Our platform integrates with expense management systems, single sign-on providers, and network infrastructure to maintain a complete inventory of all SaaS applications in use, regardless of how they were procured. Automated policy engines can flag unauthorized applications, route purchase requests through appropriate approval workflows, and ensure compliance with organizational standards. This capability is particularly valuable for government organizations with strict procurement requirements.</w:t>
      </w:r>
    </w:p>
    <w:p>
      <w:pPr>
        <w:spacing w:after="200" w:line="312"/>
      </w:pPr>
      <w:r>
        <w:rPr>
          <w:rFonts w:ascii="Times New Roman" w:cs="Times New Roman" w:eastAsia="Times New Roman" w:hAnsi="Times New Roman"/>
          <w:sz w:val="22"/>
          <w:szCs w:val="22"/>
        </w:rPr>
        <w:t xml:space="preserve">The third pillar is Decision Empowerment, embodied in our interactive savings simulator that enables stakeholders to model different scenarios and understand the implications of various optimization strategies. Users can explore questions like "What if we consolidated all video conferencing tools to a single platform?" or "What would be the impact of implementing a 90-day inactivity policy for license reclamation?" The simulator provides quantitative projections, risk assessments, and implementation roadmaps that build confidence in optimization decisions.</w:t>
      </w:r>
    </w:p>
    <w:p>
      <w:pPr>
        <w:spacing w:after="200" w:line="312"/>
      </w:pPr>
      <w:r>
        <w:rPr>
          <w:rFonts w:ascii="Times New Roman" w:cs="Times New Roman" w:eastAsia="Times New Roman" w:hAnsi="Times New Roman"/>
          <w:sz w:val="22"/>
          <w:szCs w:val="22"/>
        </w:rPr>
        <w:t xml:space="preserve">The fourth pillar is Contextual Awareness, which tailors the platform experience to different organizational roles. IT administrators see technical integration status and security alerts. Finance teams view cost trends, budget projections, and renewal calendars. Department managers see utilization metrics for their teams and optimization recommendations relevant to their function. Executives see strategic dashboards with KPIs, savings achieved, and risk indicators. This role-aware approach ensures that each user receives relevant, actionable information without being overwhelmed by data irrelevant to their responsibilities.</w:t>
      </w:r>
    </w:p>
    <w:p>
      <w:pPr>
        <w:pStyle w:val="Heading2"/>
      </w:pPr>
      <w:r>
        <w:t xml:space="preserve">5.2 Unique Value Proposition</w:t>
      </w:r>
    </w:p>
    <w:p>
      <w:pPr>
        <w:spacing w:after="200" w:line="312"/>
      </w:pPr>
      <w:r>
        <w:rPr>
          <w:rFonts w:ascii="Times New Roman" w:cs="Times New Roman" w:eastAsia="Times New Roman" w:hAnsi="Times New Roman"/>
          <w:sz w:val="22"/>
          <w:szCs w:val="22"/>
        </w:rPr>
        <w:t xml:space="preserve">Our platform delivers a unique value proposition that can be summarized in three key differentiators that set us apart from all existing solutions in the market. First, we move organizations from reactive cost tracking to proactive cost optimization through AI-powered predictive analytics. While competitors show you yesterday's waste, we predict tomorrow's opportunities and guide you to capture them before costs materialize.</w:t>
      </w:r>
    </w:p>
    <w:p>
      <w:pPr>
        <w:spacing w:after="200" w:line="312"/>
      </w:pPr>
      <w:r>
        <w:rPr>
          <w:rFonts w:ascii="Times New Roman" w:cs="Times New Roman" w:eastAsia="Times New Roman" w:hAnsi="Times New Roman"/>
          <w:sz w:val="22"/>
          <w:szCs w:val="22"/>
        </w:rPr>
        <w:t xml:space="preserve">Second, we provide complete visibility through our Shadow SaaS detection capability that identifies 100% of SaaS applications in use, not just those procured through official channels. This eliminates the governance blind spot that undermines the effectiveness of traditional SaaS management approaches and exposes organizations to security and compliance risks.</w:t>
      </w:r>
    </w:p>
    <w:p>
      <w:pPr>
        <w:spacing w:after="200" w:line="312"/>
      </w:pPr>
      <w:r>
        <w:rPr>
          <w:rFonts w:ascii="Times New Roman" w:cs="Times New Roman" w:eastAsia="Times New Roman" w:hAnsi="Times New Roman"/>
          <w:sz w:val="22"/>
          <w:szCs w:val="22"/>
        </w:rPr>
        <w:t xml:space="preserve">Third, we specifically address the unique requirements of government and public sector organizations in India, with pre-built integrations for Tamil Nadu e-Governance Agency (TNeGA) initiatives, compliance with Digital India standards, and alignment with government procurement and audit requirements. No other platform offers this specialized government-focused capability.</w:t>
      </w:r>
    </w:p>
    <w:p>
      <w:pPr>
        <w:pStyle w:val="Heading1"/>
      </w:pPr>
      <w:r>
        <w:t xml:space="preserve">6. Technical Architecture &amp; Platform Features</w:t>
      </w:r>
    </w:p>
    <w:p>
      <w:pPr>
        <w:pStyle w:val="Heading2"/>
      </w:pPr>
      <w:r>
        <w:t xml:space="preserve">6.1 System Architecture Overview</w:t>
      </w:r>
    </w:p>
    <w:p>
      <w:pPr>
        <w:spacing w:after="200" w:line="312"/>
      </w:pPr>
      <w:r>
        <w:rPr>
          <w:rFonts w:ascii="Times New Roman" w:cs="Times New Roman" w:eastAsia="Times New Roman" w:hAnsi="Times New Roman"/>
          <w:sz w:val="22"/>
          <w:szCs w:val="22"/>
        </w:rPr>
        <w:t xml:space="preserve">The platform architecture is designed with modularity, scalability, and security as foundational principles. At the highest level, the system comprises four primary layers: the Discovery and Integration Layer, the Data Processing and Analytics Layer, the Intelligence and Recommendation Layer, and the Presentation and Interaction Layer. Each layer is designed to operate independently while maintaining robust interfaces with adjacent layers, enabling flexible deployment options and future extensibility.</w:t>
      </w:r>
    </w:p>
    <w:p>
      <w:pPr>
        <w:spacing w:after="200" w:line="312"/>
      </w:pPr>
      <w:r>
        <w:rPr>
          <w:rFonts w:ascii="Times New Roman" w:cs="Times New Roman" w:eastAsia="Times New Roman" w:hAnsi="Times New Roman"/>
          <w:sz w:val="22"/>
          <w:szCs w:val="22"/>
        </w:rPr>
        <w:t xml:space="preserve">The Discovery and Integration Layer serves as the data acquisition engine, connecting to multiple data sources including Single Sign-On (SSO) providers like Okta, Azure AD, and Google Workspace; expense management systems like Concur and Expensify; HR information systems for employee data; and direct API integrations with major SaaS vendors including Salesforce, Microsoft 365, Slack, and Atlassian. This layer continuously discovers new SaaS applications, monitors user activity, and collects contract and pricing information.</w:t>
      </w:r>
    </w:p>
    <w:p>
      <w:pPr>
        <w:spacing w:after="200" w:line="312"/>
      </w:pPr>
      <w:r>
        <w:rPr>
          <w:rFonts w:ascii="Times New Roman" w:cs="Times New Roman" w:eastAsia="Times New Roman" w:hAnsi="Times New Roman"/>
          <w:sz w:val="22"/>
          <w:szCs w:val="22"/>
        </w:rPr>
        <w:t xml:space="preserve">The Data Processing and Analytics Layer transforms raw data into actionable insights through a combination of batch processing and real-time streaming. A centralized data lake stores all collected information, while processing pipelines calculate utilization metrics, identify usage patterns, and maintain historical trends. This layer powers the analytical dashboards and feeds data to the AI models in the Intelligence Layer.</w:t>
      </w:r>
    </w:p>
    <w:p>
      <w:pPr>
        <w:spacing w:after="200" w:line="312"/>
      </w:pPr>
      <w:r>
        <w:rPr>
          <w:rFonts w:ascii="Times New Roman" w:cs="Times New Roman" w:eastAsia="Times New Roman" w:hAnsi="Times New Roman"/>
          <w:sz w:val="22"/>
          <w:szCs w:val="22"/>
        </w:rPr>
        <w:t xml:space="preserve">The Intelligence and Recommendation Layer houses the machine learning models that generate predictions and recommendations. Separate models handle different use cases: a Renewal Risk Model predicts which contracts are likely to auto-renew without review; a Usage Forecast Model projects future utilization patterns; a Consolidation Opportunity Model identifies overlapping tools; and a Savings Projection Model quantifies potential cost reductions from various optimization actions. All models are continuously refined based on outcome feedback.</w:t>
      </w:r>
    </w:p>
    <w:p>
      <w:pPr>
        <w:pStyle w:val="Heading2"/>
      </w:pPr>
      <w:r>
        <w:t xml:space="preserve">6.2 Key Platform Features</w:t>
      </w:r>
    </w:p>
    <w:p>
      <w:pPr>
        <w:spacing w:after="150" w:line="312"/>
      </w:pPr>
      <w:r>
        <w:rPr>
          <w:rFonts w:ascii="Times New Roman" w:cs="Times New Roman" w:eastAsia="Times New Roman" w:hAnsi="Times New Roman"/>
          <w:sz w:val="22"/>
          <w:szCs w:val="22"/>
        </w:rPr>
        <w:t xml:space="preserve">The platform delivers a comprehensive feature set organized into five functional modules:</w:t>
      </w:r>
    </w:p>
    <w:p>
      <w:pPr>
        <w:pStyle w:val="Heading3"/>
      </w:pPr>
      <w:r>
        <w:t xml:space="preserve">Module 1: Discovery and Inventory</w:t>
      </w:r>
    </w:p>
    <w:p>
      <w:pPr>
        <w:spacing w:after="150" w:line="312"/>
      </w:pPr>
      <w:r>
        <w:rPr>
          <w:rFonts w:ascii="Times New Roman" w:cs="Times New Roman" w:eastAsia="Times New Roman" w:hAnsi="Times New Roman"/>
          <w:sz w:val="22"/>
          <w:szCs w:val="22"/>
        </w:rPr>
        <w:t xml:space="preserve">This module maintains a live, continuously updated catalog of all SaaS applications in use across the organization. Features include automated discovery from SSO logs, expense data parsing, and browser extension telemetry; application categorization by function (collaboration, development, analytics, etc.); contract and pricing information management; renewal calendar with automated alerts; and department and cost center mapping for chargeback and accountability.</w:t>
      </w:r>
    </w:p>
    <w:p>
      <w:pPr>
        <w:pStyle w:val="Heading3"/>
      </w:pPr>
      <w:r>
        <w:t xml:space="preserve">Module 2: Usage and Utilization Analytics</w:t>
      </w:r>
    </w:p>
    <w:p>
      <w:pPr>
        <w:spacing w:after="150" w:line="312"/>
      </w:pPr>
      <w:r>
        <w:rPr>
          <w:rFonts w:ascii="Times New Roman" w:cs="Times New Roman" w:eastAsia="Times New Roman" w:hAnsi="Times New Roman"/>
          <w:sz w:val="22"/>
          <w:szCs w:val="22"/>
        </w:rPr>
        <w:t xml:space="preserve">This module provides deep visibility into how SaaS applications are actually used. Features include license-level and feature-level usage tracking; utilization rate calculations per user, team, and application; active/inactive seat identification with customizable inactivity thresholds; feature adoption analysis to identify underutilized capabilities; trend analysis with anomaly detection for unusual usage patterns; and benchmarking comparisons across departments and against industry standards.</w:t>
      </w:r>
    </w:p>
    <w:p>
      <w:pPr>
        <w:pStyle w:val="Heading3"/>
      </w:pPr>
      <w:r>
        <w:t xml:space="preserve">Module 3: AI-Powered Recommendations</w:t>
      </w:r>
    </w:p>
    <w:p>
      <w:pPr>
        <w:spacing w:after="150" w:line="312"/>
      </w:pPr>
      <w:r>
        <w:rPr>
          <w:rFonts w:ascii="Times New Roman" w:cs="Times New Roman" w:eastAsia="Times New Roman" w:hAnsi="Times New Roman"/>
          <w:sz w:val="22"/>
          <w:szCs w:val="22"/>
        </w:rPr>
        <w:t xml:space="preserve">This module transforms insights into actionable recommendations. Features include automated identification of optimization opportunities; prioritized recommendation queue sorted by impact and effort; detailed savings projections with confidence intervals; step-by-step implementation guidance; one-click action execution for supported integrations; and feedback loops that improve recommendation accuracy over time.</w:t>
      </w:r>
    </w:p>
    <w:p>
      <w:pPr>
        <w:pStyle w:val="Heading3"/>
      </w:pPr>
      <w:r>
        <w:t xml:space="preserve">Module 4: Governance Workflows</w:t>
      </w:r>
    </w:p>
    <w:p>
      <w:pPr>
        <w:spacing w:after="150" w:line="312"/>
      </w:pPr>
      <w:r>
        <w:rPr>
          <w:rFonts w:ascii="Times New Roman" w:cs="Times New Roman" w:eastAsia="Times New Roman" w:hAnsi="Times New Roman"/>
          <w:sz w:val="22"/>
          <w:szCs w:val="22"/>
        </w:rPr>
        <w:t xml:space="preserve">This module enforces organizational policies and maintains compliance. Features include configurable approval workflows for new SaaS acquisitions; policy rules engine for automated compliance checking; budget guardrails with alerts and enforcement options; Shadow SaaS detection and remediation workflows; audit trail logging for all actions and decisions; and role-based access control with fine-grained permissions.</w:t>
      </w:r>
    </w:p>
    <w:p>
      <w:pPr>
        <w:pStyle w:val="Heading3"/>
      </w:pPr>
      <w:r>
        <w:t xml:space="preserve">Module 5: Executive Dashboard and Reporting</w:t>
      </w:r>
    </w:p>
    <w:p>
      <w:pPr>
        <w:spacing w:after="200" w:line="312"/>
      </w:pPr>
      <w:r>
        <w:rPr>
          <w:rFonts w:ascii="Times New Roman" w:cs="Times New Roman" w:eastAsia="Times New Roman" w:hAnsi="Times New Roman"/>
          <w:sz w:val="22"/>
          <w:szCs w:val="22"/>
        </w:rPr>
        <w:t xml:space="preserve">This module provides strategic visibility for leadership and stakeholders. Features include executive KPI dashboard with savings achieved and cost trends; renewal calendar with risk indicators; department-level cost breakdowns; compliance status overview; customizable reports for board and audit committee presentations; and export capabilities for integration with financial planning systems.</w:t>
      </w:r>
    </w:p>
    <w:p>
      <w:pPr>
        <w:pStyle w:val="Heading1"/>
      </w:pPr>
      <w:r>
        <w:t xml:space="preserve">7. Government-Specific Value Proposition</w:t>
      </w:r>
    </w:p>
    <w:p>
      <w:pPr>
        <w:pStyle w:val="Heading2"/>
      </w:pPr>
      <w:r>
        <w:t xml:space="preserve">7.1 Alignment with Tamil Nadu Digital Initiatives</w:t>
      </w:r>
    </w:p>
    <w:p>
      <w:pPr>
        <w:spacing w:after="200" w:line="312"/>
      </w:pPr>
      <w:r>
        <w:rPr>
          <w:rFonts w:ascii="Times New Roman" w:cs="Times New Roman" w:eastAsia="Times New Roman" w:hAnsi="Times New Roman"/>
          <w:sz w:val="22"/>
          <w:szCs w:val="22"/>
        </w:rPr>
        <w:t xml:space="preserve">Tamil Nadu has emerged as a leader in digital governance through ambitious initiatives spearheaded by the Tamil Nadu e-Governance Agency (TNeGA). The Tamil Nadu Digital Transformation (DiTN) Strategy aims to enhance governance through digital technology with a citizen-centric approach. Our platform aligns directly with these initiatives by providing government departments with the visibility and control needed to optimize technology spending while maintaining the transparency and accountability that public sector operations require.</w:t>
      </w:r>
    </w:p>
    <w:p>
      <w:pPr>
        <w:spacing w:after="200" w:line="312"/>
      </w:pPr>
      <w:r>
        <w:rPr>
          <w:rFonts w:ascii="Times New Roman" w:cs="Times New Roman" w:eastAsia="Times New Roman" w:hAnsi="Times New Roman"/>
          <w:sz w:val="22"/>
          <w:szCs w:val="22"/>
        </w:rPr>
        <w:t xml:space="preserve">The SimpleGov Initiative launched in November 2023 demonstrates Tamil Nadu's commitment to streamlining government operations. Our SaaS optimization platform extends this vision to the domain of software asset management, enabling government departments to eliminate waste, consolidate redundant tools, and ensure that taxpayer funds are spent efficiently on technology that delivers actual value. The platform's compliance framework is designed to integrate seamlessly with existing government procurement systems and audit processes.</w:t>
      </w:r>
    </w:p>
    <w:p>
      <w:pPr>
        <w:spacing w:after="200" w:line="312"/>
      </w:pPr>
      <w:r>
        <w:rPr>
          <w:rFonts w:ascii="Times New Roman" w:cs="Times New Roman" w:eastAsia="Times New Roman" w:hAnsi="Times New Roman"/>
          <w:sz w:val="22"/>
          <w:szCs w:val="22"/>
        </w:rPr>
        <w:t xml:space="preserve">Tamil Nadu's development of statewide blockchain infrastructure for enhanced security and transparency aligns with our platform's approach to maintaining immutable audit trails for all software-related decisions. Every license purchase, usage decision, and optimization action is recorded in a tamper-evident log that can support government audit requirements and demonstrate responsible stewardship of public resources.</w:t>
      </w:r>
    </w:p>
    <w:p>
      <w:pPr>
        <w:pStyle w:val="Heading2"/>
      </w:pPr>
      <w:r>
        <w:t xml:space="preserve">7.2 Government-Specific Features</w:t>
      </w:r>
    </w:p>
    <w:p>
      <w:pPr>
        <w:spacing w:after="150" w:line="312"/>
      </w:pPr>
      <w:r>
        <w:rPr>
          <w:rFonts w:ascii="Times New Roman" w:cs="Times New Roman" w:eastAsia="Times New Roman" w:hAnsi="Times New Roman"/>
          <w:sz w:val="22"/>
          <w:szCs w:val="22"/>
        </w:rPr>
        <w:t xml:space="preserve">Our platform includes specialized features designed specifically for government and public sector organizations:</w:t>
      </w:r>
    </w:p>
    <w:p>
      <w:pPr>
        <w:pStyle w:val="ListParagraph"/>
        <w:numPr>
          <w:ilvl w:val="0"/>
          <w:numId w:val="3"/>
        </w:numPr>
        <w:spacing w:after="100" w:line="312"/>
      </w:pPr>
      <w:r>
        <w:rPr>
          <w:rFonts w:ascii="Times New Roman" w:cs="Times New Roman" w:eastAsia="Times New Roman" w:hAnsi="Times New Roman"/>
          <w:b/>
          <w:bCs/>
          <w:sz w:val="22"/>
          <w:szCs w:val="22"/>
        </w:rPr>
        <w:t xml:space="preserve">GFR Compliance Templates: </w:t>
      </w:r>
      <w:r>
        <w:rPr>
          <w:rFonts w:ascii="Times New Roman" w:cs="Times New Roman" w:eastAsia="Times New Roman" w:hAnsi="Times New Roman"/>
          <w:sz w:val="22"/>
          <w:szCs w:val="22"/>
        </w:rPr>
        <w:t xml:space="preserve">Pre-configured workflows aligned with Government Financial Rules and procurement guidelines.</w:t>
      </w:r>
    </w:p>
    <w:p>
      <w:pPr>
        <w:pStyle w:val="ListParagraph"/>
        <w:numPr>
          <w:ilvl w:val="0"/>
          <w:numId w:val="3"/>
        </w:numPr>
        <w:spacing w:after="100" w:line="312"/>
      </w:pPr>
      <w:r>
        <w:rPr>
          <w:rFonts w:ascii="Times New Roman" w:cs="Times New Roman" w:eastAsia="Times New Roman" w:hAnsi="Times New Roman"/>
          <w:b/>
          <w:bCs/>
          <w:sz w:val="22"/>
          <w:szCs w:val="22"/>
        </w:rPr>
        <w:t xml:space="preserve">Budget Cycle Integration: </w:t>
      </w:r>
      <w:r>
        <w:rPr>
          <w:rFonts w:ascii="Times New Roman" w:cs="Times New Roman" w:eastAsia="Times New Roman" w:hAnsi="Times New Roman"/>
          <w:sz w:val="22"/>
          <w:szCs w:val="22"/>
        </w:rPr>
        <w:t xml:space="preserve">Planning and reporting features aligned with government fiscal year cycles and budget preparation timelines.</w:t>
      </w:r>
    </w:p>
    <w:p>
      <w:pPr>
        <w:pStyle w:val="ListParagraph"/>
        <w:numPr>
          <w:ilvl w:val="0"/>
          <w:numId w:val="3"/>
        </w:numPr>
        <w:spacing w:after="100" w:line="312"/>
      </w:pPr>
      <w:r>
        <w:rPr>
          <w:rFonts w:ascii="Times New Roman" w:cs="Times New Roman" w:eastAsia="Times New Roman" w:hAnsi="Times New Roman"/>
          <w:b/>
          <w:bCs/>
          <w:sz w:val="22"/>
          <w:szCs w:val="22"/>
        </w:rPr>
        <w:t xml:space="preserve">Audit-Ready Documentation: </w:t>
      </w:r>
      <w:r>
        <w:rPr>
          <w:rFonts w:ascii="Times New Roman" w:cs="Times New Roman" w:eastAsia="Times New Roman" w:hAnsi="Times New Roman"/>
          <w:sz w:val="22"/>
          <w:szCs w:val="22"/>
        </w:rPr>
        <w:t xml:space="preserve">Automated generation of documentation required for CAG audits and legislative oversight.</w:t>
      </w:r>
    </w:p>
    <w:p>
      <w:pPr>
        <w:pStyle w:val="ListParagraph"/>
        <w:numPr>
          <w:ilvl w:val="0"/>
          <w:numId w:val="3"/>
        </w:numPr>
        <w:spacing w:after="100" w:line="312"/>
      </w:pPr>
      <w:r>
        <w:rPr>
          <w:rFonts w:ascii="Times New Roman" w:cs="Times New Roman" w:eastAsia="Times New Roman" w:hAnsi="Times New Roman"/>
          <w:b/>
          <w:bCs/>
          <w:sz w:val="22"/>
          <w:szCs w:val="22"/>
        </w:rPr>
        <w:t xml:space="preserve">Digital India Standards: </w:t>
      </w:r>
      <w:r>
        <w:rPr>
          <w:rFonts w:ascii="Times New Roman" w:cs="Times New Roman" w:eastAsia="Times New Roman" w:hAnsi="Times New Roman"/>
          <w:sz w:val="22"/>
          <w:szCs w:val="22"/>
        </w:rPr>
        <w:t xml:space="preserve">Compliance with Digital India security and interoperability standards.</w:t>
      </w:r>
    </w:p>
    <w:p>
      <w:pPr>
        <w:pStyle w:val="ListParagraph"/>
        <w:numPr>
          <w:ilvl w:val="0"/>
          <w:numId w:val="3"/>
        </w:numPr>
        <w:spacing w:after="100" w:line="312"/>
      </w:pPr>
      <w:r>
        <w:rPr>
          <w:rFonts w:ascii="Times New Roman" w:cs="Times New Roman" w:eastAsia="Times New Roman" w:hAnsi="Times New Roman"/>
          <w:b/>
          <w:bCs/>
          <w:sz w:val="22"/>
          <w:szCs w:val="22"/>
        </w:rPr>
        <w:t xml:space="preserve">Multi-Department Rollup: </w:t>
      </w:r>
      <w:r>
        <w:rPr>
          <w:rFonts w:ascii="Times New Roman" w:cs="Times New Roman" w:eastAsia="Times New Roman" w:hAnsi="Times New Roman"/>
          <w:sz w:val="22"/>
          <w:szCs w:val="22"/>
        </w:rPr>
        <w:t xml:space="preserve">Hierarchical reporting that consolidates data across departments for state-level visibility.</w:t>
      </w:r>
    </w:p>
    <w:p>
      <w:pPr>
        <w:pStyle w:val="ListParagraph"/>
        <w:numPr>
          <w:ilvl w:val="0"/>
          <w:numId w:val="3"/>
        </w:numPr>
        <w:spacing w:after="100" w:line="312"/>
      </w:pPr>
      <w:r>
        <w:rPr>
          <w:rFonts w:ascii="Times New Roman" w:cs="Times New Roman" w:eastAsia="Times New Roman" w:hAnsi="Times New Roman"/>
          <w:b/>
          <w:bCs/>
          <w:sz w:val="22"/>
          <w:szCs w:val="22"/>
        </w:rPr>
        <w:t xml:space="preserve">NIC Integration: </w:t>
      </w:r>
      <w:r>
        <w:rPr>
          <w:rFonts w:ascii="Times New Roman" w:cs="Times New Roman" w:eastAsia="Times New Roman" w:hAnsi="Times New Roman"/>
          <w:sz w:val="22"/>
          <w:szCs w:val="22"/>
        </w:rPr>
        <w:t xml:space="preserve">Compatibility with National Informatics Centre infrastructure and services.</w:t>
      </w:r>
    </w:p>
    <w:p>
      <w:pPr>
        <w:pStyle w:val="ListParagraph"/>
        <w:numPr>
          <w:ilvl w:val="0"/>
          <w:numId w:val="3"/>
        </w:numPr>
        <w:spacing w:after="200" w:line="312"/>
      </w:pPr>
      <w:r>
        <w:rPr>
          <w:rFonts w:ascii="Times New Roman" w:cs="Times New Roman" w:eastAsia="Times New Roman" w:hAnsi="Times New Roman"/>
          <w:b/>
          <w:bCs/>
          <w:sz w:val="22"/>
          <w:szCs w:val="22"/>
        </w:rPr>
        <w:t xml:space="preserve">Data Localization: </w:t>
      </w:r>
      <w:r>
        <w:rPr>
          <w:rFonts w:ascii="Times New Roman" w:cs="Times New Roman" w:eastAsia="Times New Roman" w:hAnsi="Times New Roman"/>
          <w:sz w:val="22"/>
          <w:szCs w:val="22"/>
        </w:rPr>
        <w:t xml:space="preserve">Deployment options that ensure sensitive government data remains within Indian jurisdiction.</w:t>
      </w:r>
    </w:p>
    <w:p>
      <w:pPr>
        <w:pStyle w:val="Heading1"/>
      </w:pPr>
      <w:r>
        <w:t xml:space="preserve">8. Implementation Roadmap</w:t>
      </w:r>
    </w:p>
    <w:p>
      <w:pPr>
        <w:pStyle w:val="Heading2"/>
      </w:pPr>
      <w:r>
        <w:t xml:space="preserve">8.1 Phased Implementation Approach</w:t>
      </w:r>
    </w:p>
    <w:p>
      <w:pPr>
        <w:spacing w:after="200" w:line="312"/>
      </w:pPr>
      <w:r>
        <w:rPr>
          <w:rFonts w:ascii="Times New Roman" w:cs="Times New Roman" w:eastAsia="Times New Roman" w:hAnsi="Times New Roman"/>
          <w:sz w:val="22"/>
          <w:szCs w:val="22"/>
        </w:rPr>
        <w:t xml:space="preserve">The implementation follows a phased approach designed to deliver value incrementally while managing complexity and risk. Each phase builds upon the capabilities delivered in previous phases, enabling organizations to realize benefits quickly while progressing toward the full vision.</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000"/>
        <w:gridCol w:w="3500"/>
        <w:gridCol w:w="3860"/>
      </w:tblGrid>
      <w:tr>
        <w:trPr>
          <w:tblHeader/>
        </w:trPr>
        <w:tc>
          <w:tcPr>
            <w:tcBorders>
              <w:top w:val="single" w:color="020617" w:sz="12"/>
              <w:left w:val="nil"/>
              <w:bottom w:val="single" w:color="020617" w:sz="12"/>
              <w:right w:val="nil"/>
            </w:tcBorders>
            <w:shd w:fill="F8FAFC" w:val="clear"/>
            <w:vAlign w:val="center"/>
          </w:tcPr>
          <w:p>
            <w:pPr>
              <w:jc w:val="center"/>
            </w:pPr>
            <w:r>
              <w:rPr>
                <w:rFonts w:ascii="Times New Roman" w:cs="Times New Roman" w:eastAsia="Times New Roman" w:hAnsi="Times New Roman"/>
                <w:b/>
                <w:bCs/>
                <w:sz w:val="22"/>
                <w:szCs w:val="22"/>
              </w:rPr>
              <w:t xml:space="preserve">Phase</w:t>
            </w:r>
          </w:p>
        </w:tc>
        <w:tc>
          <w:tcPr>
            <w:tcBorders>
              <w:top w:val="single" w:color="020617" w:sz="12"/>
              <w:left w:val="nil"/>
              <w:bottom w:val="single" w:color="020617" w:sz="12"/>
              <w:right w:val="nil"/>
            </w:tcBorders>
            <w:shd w:fill="F8FAFC" w:val="clear"/>
            <w:vAlign w:val="center"/>
          </w:tcPr>
          <w:p>
            <w:pPr>
              <w:jc w:val="center"/>
            </w:pPr>
            <w:r>
              <w:rPr>
                <w:rFonts w:ascii="Times New Roman" w:cs="Times New Roman" w:eastAsia="Times New Roman" w:hAnsi="Times New Roman"/>
                <w:b/>
                <w:bCs/>
                <w:sz w:val="22"/>
                <w:szCs w:val="22"/>
              </w:rPr>
              <w:t xml:space="preserve">Duration</w:t>
            </w:r>
          </w:p>
        </w:tc>
        <w:tc>
          <w:tcPr>
            <w:tcBorders>
              <w:top w:val="single" w:color="020617" w:sz="12"/>
              <w:left w:val="nil"/>
              <w:bottom w:val="single" w:color="020617" w:sz="12"/>
              <w:right w:val="nil"/>
            </w:tcBorders>
            <w:shd w:fill="F8FAFC" w:val="clear"/>
            <w:vAlign w:val="center"/>
          </w:tcPr>
          <w:p>
            <w:pPr>
              <w:jc w:val="center"/>
            </w:pPr>
            <w:r>
              <w:rPr>
                <w:rFonts w:ascii="Times New Roman" w:cs="Times New Roman" w:eastAsia="Times New Roman" w:hAnsi="Times New Roman"/>
                <w:b/>
                <w:bCs/>
                <w:sz w:val="22"/>
                <w:szCs w:val="22"/>
              </w:rPr>
              <w:t xml:space="preserve">Key Deliverables</w:t>
            </w:r>
          </w:p>
        </w:tc>
      </w:tr>
      <w:tr>
        <w:tc>
          <w:tcPr>
            <w:tcBorders>
              <w:top w:val="single" w:color="020617" w:sz="12"/>
              <w:left w:val="nil"/>
              <w:bottom w:val="single" w:color="020617" w:sz="12"/>
              <w:right w:val="nil"/>
            </w:tcBorders>
          </w:tcPr>
          <w:p>
            <w:r>
              <w:rPr>
                <w:rFonts w:ascii="Times New Roman" w:cs="Times New Roman" w:eastAsia="Times New Roman" w:hAnsi="Times New Roman"/>
                <w:b/>
                <w:bCs/>
                <w:sz w:val="22"/>
                <w:szCs w:val="22"/>
              </w:rPr>
              <w:t xml:space="preserve">Phase 1</w:t>
            </w:r>
          </w:p>
        </w:tc>
        <w:tc>
          <w:tcPr>
            <w:tcBorders>
              <w:top w:val="single" w:color="020617" w:sz="12"/>
              <w:left w:val="nil"/>
              <w:bottom w:val="single" w:color="020617" w:sz="12"/>
              <w:right w:val="nil"/>
            </w:tcBorders>
          </w:tcPr>
          <w:p>
            <w:r>
              <w:rPr>
                <w:rFonts w:ascii="Times New Roman" w:cs="Times New Roman" w:eastAsia="Times New Roman" w:hAnsi="Times New Roman"/>
                <w:sz w:val="22"/>
                <w:szCs w:val="22"/>
              </w:rPr>
              <w:t xml:space="preserve">4-6 Weeks</w:t>
            </w:r>
          </w:p>
        </w:tc>
        <w:tc>
          <w:tcPr>
            <w:tcBorders>
              <w:top w:val="single" w:color="020617" w:sz="12"/>
              <w:left w:val="nil"/>
              <w:bottom w:val="single" w:color="020617" w:sz="12"/>
              <w:right w:val="nil"/>
            </w:tcBorders>
          </w:tcPr>
          <w:p>
            <w:r>
              <w:rPr>
                <w:rFonts w:ascii="Times New Roman" w:cs="Times New Roman" w:eastAsia="Times New Roman" w:hAnsi="Times New Roman"/>
                <w:sz w:val="22"/>
                <w:szCs w:val="22"/>
              </w:rPr>
              <w:t xml:space="preserve">Core Discovery, Inventory Dashboard, Basic Usage Tracking</w:t>
            </w:r>
          </w:p>
        </w:tc>
      </w:tr>
      <w:tr>
        <w:tc>
          <w:tcPr>
            <w:tcBorders>
              <w:top w:val="single" w:color="020617" w:sz="12"/>
              <w:left w:val="nil"/>
              <w:bottom w:val="single" w:color="020617" w:sz="12"/>
              <w:right w:val="nil"/>
            </w:tcBorders>
          </w:tcPr>
          <w:p>
            <w:r>
              <w:rPr>
                <w:rFonts w:ascii="Times New Roman" w:cs="Times New Roman" w:eastAsia="Times New Roman" w:hAnsi="Times New Roman"/>
                <w:b/>
                <w:bCs/>
                <w:sz w:val="22"/>
                <w:szCs w:val="22"/>
              </w:rPr>
              <w:t xml:space="preserve">Phase 2</w:t>
            </w:r>
          </w:p>
        </w:tc>
        <w:tc>
          <w:tcPr>
            <w:tcBorders>
              <w:top w:val="single" w:color="020617" w:sz="12"/>
              <w:left w:val="nil"/>
              <w:bottom w:val="single" w:color="020617" w:sz="12"/>
              <w:right w:val="nil"/>
            </w:tcBorders>
          </w:tcPr>
          <w:p>
            <w:r>
              <w:rPr>
                <w:rFonts w:ascii="Times New Roman" w:cs="Times New Roman" w:eastAsia="Times New Roman" w:hAnsi="Times New Roman"/>
                <w:sz w:val="22"/>
                <w:szCs w:val="22"/>
              </w:rPr>
              <w:t xml:space="preserve">6-8 Weeks</w:t>
            </w:r>
          </w:p>
        </w:tc>
        <w:tc>
          <w:tcPr>
            <w:tcBorders>
              <w:top w:val="single" w:color="020617" w:sz="12"/>
              <w:left w:val="nil"/>
              <w:bottom w:val="single" w:color="020617" w:sz="12"/>
              <w:right w:val="nil"/>
            </w:tcBorders>
          </w:tcPr>
          <w:p>
            <w:r>
              <w:rPr>
                <w:rFonts w:ascii="Times New Roman" w:cs="Times New Roman" w:eastAsia="Times New Roman" w:hAnsi="Times New Roman"/>
                <w:sz w:val="22"/>
                <w:szCs w:val="22"/>
              </w:rPr>
              <w:t xml:space="preserve">Advanced Analytics, AI Recommendations, Savings Calculator</w:t>
            </w:r>
          </w:p>
        </w:tc>
      </w:tr>
      <w:tr>
        <w:tc>
          <w:tcPr>
            <w:tcBorders>
              <w:top w:val="single" w:color="020617" w:sz="12"/>
              <w:left w:val="nil"/>
              <w:bottom w:val="single" w:color="020617" w:sz="12"/>
              <w:right w:val="nil"/>
            </w:tcBorders>
          </w:tcPr>
          <w:p>
            <w:r>
              <w:rPr>
                <w:rFonts w:ascii="Times New Roman" w:cs="Times New Roman" w:eastAsia="Times New Roman" w:hAnsi="Times New Roman"/>
                <w:b/>
                <w:bCs/>
                <w:sz w:val="22"/>
                <w:szCs w:val="22"/>
              </w:rPr>
              <w:t xml:space="preserve">Phase 3</w:t>
            </w:r>
          </w:p>
        </w:tc>
        <w:tc>
          <w:tcPr>
            <w:tcBorders>
              <w:top w:val="single" w:color="020617" w:sz="12"/>
              <w:left w:val="nil"/>
              <w:bottom w:val="single" w:color="020617" w:sz="12"/>
              <w:right w:val="nil"/>
            </w:tcBorders>
          </w:tcPr>
          <w:p>
            <w:r>
              <w:rPr>
                <w:rFonts w:ascii="Times New Roman" w:cs="Times New Roman" w:eastAsia="Times New Roman" w:hAnsi="Times New Roman"/>
                <w:sz w:val="22"/>
                <w:szCs w:val="22"/>
              </w:rPr>
              <w:t xml:space="preserve">4-6 Weeks</w:t>
            </w:r>
          </w:p>
        </w:tc>
        <w:tc>
          <w:tcPr>
            <w:tcBorders>
              <w:top w:val="single" w:color="020617" w:sz="12"/>
              <w:left w:val="nil"/>
              <w:bottom w:val="single" w:color="020617" w:sz="12"/>
              <w:right w:val="nil"/>
            </w:tcBorders>
          </w:tcPr>
          <w:p>
            <w:r>
              <w:rPr>
                <w:rFonts w:ascii="Times New Roman" w:cs="Times New Roman" w:eastAsia="Times New Roman" w:hAnsi="Times New Roman"/>
                <w:sz w:val="22"/>
                <w:szCs w:val="22"/>
              </w:rPr>
              <w:t xml:space="preserve">Governance Workflows, Policy Engine, Shadow Detection</w:t>
            </w:r>
          </w:p>
        </w:tc>
      </w:tr>
      <w:tr>
        <w:tc>
          <w:tcPr>
            <w:tcBorders>
              <w:top w:val="single" w:color="020617" w:sz="12"/>
              <w:left w:val="nil"/>
              <w:bottom w:val="single" w:color="020617" w:sz="12"/>
              <w:right w:val="nil"/>
            </w:tcBorders>
          </w:tcPr>
          <w:p>
            <w:r>
              <w:rPr>
                <w:rFonts w:ascii="Times New Roman" w:cs="Times New Roman" w:eastAsia="Times New Roman" w:hAnsi="Times New Roman"/>
                <w:b/>
                <w:bCs/>
                <w:sz w:val="22"/>
                <w:szCs w:val="22"/>
              </w:rPr>
              <w:t xml:space="preserve">Phase 4</w:t>
            </w:r>
          </w:p>
        </w:tc>
        <w:tc>
          <w:tcPr>
            <w:tcBorders>
              <w:top w:val="single" w:color="020617" w:sz="12"/>
              <w:left w:val="nil"/>
              <w:bottom w:val="single" w:color="020617" w:sz="12"/>
              <w:right w:val="nil"/>
            </w:tcBorders>
          </w:tcPr>
          <w:p>
            <w:r>
              <w:rPr>
                <w:rFonts w:ascii="Times New Roman" w:cs="Times New Roman" w:eastAsia="Times New Roman" w:hAnsi="Times New Roman"/>
                <w:sz w:val="22"/>
                <w:szCs w:val="22"/>
              </w:rPr>
              <w:t xml:space="preserve">4 Weeks</w:t>
            </w:r>
          </w:p>
        </w:tc>
        <w:tc>
          <w:tcPr>
            <w:tcBorders>
              <w:top w:val="single" w:color="020617" w:sz="12"/>
              <w:left w:val="nil"/>
              <w:bottom w:val="single" w:color="020617" w:sz="12"/>
              <w:right w:val="nil"/>
            </w:tcBorders>
          </w:tcPr>
          <w:p>
            <w:r>
              <w:rPr>
                <w:rFonts w:ascii="Times New Roman" w:cs="Times New Roman" w:eastAsia="Times New Roman" w:hAnsi="Times New Roman"/>
                <w:sz w:val="22"/>
                <w:szCs w:val="22"/>
              </w:rPr>
              <w:t xml:space="preserve">Predictive Analytics, Savings Simulator, Executive Dashboards</w:t>
            </w:r>
          </w:p>
        </w:tc>
      </w:tr>
    </w:tbl>
    <w:p>
      <w:pPr>
        <w:spacing w:before="100" w:after="300"/>
        <w:jc w:val="center"/>
      </w:pPr>
      <w:r>
        <w:rPr>
          <w:rFonts w:ascii="Times New Roman" w:cs="Times New Roman" w:eastAsia="Times New Roman" w:hAnsi="Times New Roman"/>
          <w:i/>
          <w:iCs/>
          <w:color w:val="64748B"/>
          <w:sz w:val="18"/>
          <w:szCs w:val="18"/>
        </w:rPr>
        <w:t xml:space="preserve">Table 3: Implementation Phases and Timeline</w:t>
      </w:r>
    </w:p>
    <w:p>
      <w:pPr>
        <w:pStyle w:val="Heading2"/>
      </w:pPr>
      <w:r>
        <w:t xml:space="preserve">8.2 Technology Stack</w:t>
      </w:r>
    </w:p>
    <w:p>
      <w:pPr>
        <w:spacing w:after="150" w:line="312"/>
      </w:pPr>
      <w:r>
        <w:rPr>
          <w:rFonts w:ascii="Times New Roman" w:cs="Times New Roman" w:eastAsia="Times New Roman" w:hAnsi="Times New Roman"/>
          <w:sz w:val="22"/>
          <w:szCs w:val="22"/>
        </w:rPr>
        <w:t xml:space="preserve">The platform is built on a modern, cloud-native technology stack optimized for performance, scalability, and developer productivity:</w:t>
      </w:r>
    </w:p>
    <w:p>
      <w:pPr>
        <w:pStyle w:val="ListParagraph"/>
        <w:numPr>
          <w:ilvl w:val="0"/>
          <w:numId w:val="3"/>
        </w:numPr>
        <w:spacing w:after="100" w:line="312"/>
      </w:pPr>
      <w:r>
        <w:rPr>
          <w:rFonts w:ascii="Times New Roman" w:cs="Times New Roman" w:eastAsia="Times New Roman" w:hAnsi="Times New Roman"/>
          <w:b/>
          <w:bCs/>
          <w:sz w:val="22"/>
          <w:szCs w:val="22"/>
        </w:rPr>
        <w:t xml:space="preserve">Frontend: </w:t>
      </w:r>
      <w:r>
        <w:rPr>
          <w:rFonts w:ascii="Times New Roman" w:cs="Times New Roman" w:eastAsia="Times New Roman" w:hAnsi="Times New Roman"/>
          <w:sz w:val="22"/>
          <w:szCs w:val="22"/>
        </w:rPr>
        <w:t xml:space="preserve">Next.js 15 with React 18, Tailwind CSS, shadcn/ui components, Recharts for visualizations</w:t>
      </w:r>
    </w:p>
    <w:p>
      <w:pPr>
        <w:pStyle w:val="ListParagraph"/>
        <w:numPr>
          <w:ilvl w:val="0"/>
          <w:numId w:val="3"/>
        </w:numPr>
        <w:spacing w:after="100" w:line="312"/>
      </w:pPr>
      <w:r>
        <w:rPr>
          <w:rFonts w:ascii="Times New Roman" w:cs="Times New Roman" w:eastAsia="Times New Roman" w:hAnsi="Times New Roman"/>
          <w:b/>
          <w:bCs/>
          <w:sz w:val="22"/>
          <w:szCs w:val="22"/>
        </w:rPr>
        <w:t xml:space="preserve">Backend: </w:t>
      </w:r>
      <w:r>
        <w:rPr>
          <w:rFonts w:ascii="Times New Roman" w:cs="Times New Roman" w:eastAsia="Times New Roman" w:hAnsi="Times New Roman"/>
          <w:sz w:val="22"/>
          <w:szCs w:val="22"/>
        </w:rPr>
        <w:t xml:space="preserve">Node.js with Express, PostgreSQL database, Redis caching, message queue for async processing</w:t>
      </w:r>
    </w:p>
    <w:p>
      <w:pPr>
        <w:pStyle w:val="ListParagraph"/>
        <w:numPr>
          <w:ilvl w:val="0"/>
          <w:numId w:val="3"/>
        </w:numPr>
        <w:spacing w:after="100" w:line="312"/>
      </w:pPr>
      <w:r>
        <w:rPr>
          <w:rFonts w:ascii="Times New Roman" w:cs="Times New Roman" w:eastAsia="Times New Roman" w:hAnsi="Times New Roman"/>
          <w:b/>
          <w:bCs/>
          <w:sz w:val="22"/>
          <w:szCs w:val="22"/>
        </w:rPr>
        <w:t xml:space="preserve">AI/ML: </w:t>
      </w:r>
      <w:r>
        <w:rPr>
          <w:rFonts w:ascii="Times New Roman" w:cs="Times New Roman" w:eastAsia="Times New Roman" w:hAnsi="Times New Roman"/>
          <w:sz w:val="22"/>
          <w:szCs w:val="22"/>
        </w:rPr>
        <w:t xml:space="preserve">Python with scikit-learn, TensorFlow for predictive models, integration with LLM APIs for contextual recommendations</w:t>
      </w:r>
    </w:p>
    <w:p>
      <w:pPr>
        <w:pStyle w:val="ListParagraph"/>
        <w:numPr>
          <w:ilvl w:val="0"/>
          <w:numId w:val="3"/>
        </w:numPr>
        <w:spacing w:after="100" w:line="312"/>
      </w:pPr>
      <w:r>
        <w:rPr>
          <w:rFonts w:ascii="Times New Roman" w:cs="Times New Roman" w:eastAsia="Times New Roman" w:hAnsi="Times New Roman"/>
          <w:b/>
          <w:bCs/>
          <w:sz w:val="22"/>
          <w:szCs w:val="22"/>
        </w:rPr>
        <w:t xml:space="preserve">Infrastructure: </w:t>
      </w:r>
      <w:r>
        <w:rPr>
          <w:rFonts w:ascii="Times New Roman" w:cs="Times New Roman" w:eastAsia="Times New Roman" w:hAnsi="Times New Roman"/>
          <w:sz w:val="22"/>
          <w:szCs w:val="22"/>
        </w:rPr>
        <w:t xml:space="preserve">Containerized deployment with Docker, Kubernetes orchestration, CI/CD pipelines</w:t>
      </w:r>
    </w:p>
    <w:p>
      <w:pPr>
        <w:pStyle w:val="ListParagraph"/>
        <w:numPr>
          <w:ilvl w:val="0"/>
          <w:numId w:val="3"/>
        </w:numPr>
        <w:spacing w:after="200" w:line="312"/>
      </w:pPr>
      <w:r>
        <w:rPr>
          <w:rFonts w:ascii="Times New Roman" w:cs="Times New Roman" w:eastAsia="Times New Roman" w:hAnsi="Times New Roman"/>
          <w:b/>
          <w:bCs/>
          <w:sz w:val="22"/>
          <w:szCs w:val="22"/>
        </w:rPr>
        <w:t xml:space="preserve">Security: </w:t>
      </w:r>
      <w:r>
        <w:rPr>
          <w:rFonts w:ascii="Times New Roman" w:cs="Times New Roman" w:eastAsia="Times New Roman" w:hAnsi="Times New Roman"/>
          <w:sz w:val="22"/>
          <w:szCs w:val="22"/>
        </w:rPr>
        <w:t xml:space="preserve">OAuth 2.0/OIDC authentication, role-based access control, encryption at rest and in transit, audit logging</w:t>
      </w:r>
    </w:p>
    <w:p>
      <w:pPr>
        <w:pStyle w:val="Heading1"/>
      </w:pPr>
      <w:r>
        <w:t xml:space="preserve">9. Expected Outcomes &amp; Impact</w:t>
      </w:r>
    </w:p>
    <w:p>
      <w:pPr>
        <w:pStyle w:val="Heading2"/>
      </w:pPr>
      <w:r>
        <w:t xml:space="preserve">9.1 Quantified Benefits</w:t>
      </w:r>
    </w:p>
    <w:p>
      <w:pPr>
        <w:spacing w:after="200" w:line="312"/>
      </w:pPr>
      <w:r>
        <w:rPr>
          <w:rFonts w:ascii="Times New Roman" w:cs="Times New Roman" w:eastAsia="Times New Roman" w:hAnsi="Times New Roman"/>
          <w:sz w:val="22"/>
          <w:szCs w:val="22"/>
        </w:rPr>
        <w:t xml:space="preserve">Based on industry benchmarks and the capabilities of our platform, organizations implementing the SaaS Cost Optimization Platform can expect the following quantified benefits within the first year of deployment. Cost reduction represents the most immediate and measurable benefit, with projected savings of 25-40% on SaaS waste through elimination of unused licenses, rightsizing of license tiers, and consolidation of overlapping tools. For a mid-sized government department spending Rs.10 crore annually on SaaS subscriptions, this translates to potential savings of Rs.2.5-4 crore per year.</w:t>
      </w:r>
    </w:p>
    <w:p>
      <w:pPr>
        <w:spacing w:after="200" w:line="312"/>
      </w:pPr>
      <w:r>
        <w:rPr>
          <w:rFonts w:ascii="Times New Roman" w:cs="Times New Roman" w:eastAsia="Times New Roman" w:hAnsi="Times New Roman"/>
          <w:sz w:val="22"/>
          <w:szCs w:val="22"/>
        </w:rPr>
        <w:t xml:space="preserve">Operational efficiency improvements emerge from streamlined processes and reduced manual effort. IT teams typically spend 15-20 hours per week on SaaS administration tasks that our platform automates, including license allocation, access provisioning, and renewal tracking. This freed capacity can be redirected to higher-value strategic initiatives. Additionally, the reduction in emergency procurement requests and last-minute renewal negotiations creates significant efficiency gains for finance and procurement teams.</w:t>
      </w:r>
    </w:p>
    <w:p>
      <w:pPr>
        <w:spacing w:after="200" w:line="312"/>
      </w:pPr>
      <w:r>
        <w:rPr>
          <w:rFonts w:ascii="Times New Roman" w:cs="Times New Roman" w:eastAsia="Times New Roman" w:hAnsi="Times New Roman"/>
          <w:sz w:val="22"/>
          <w:szCs w:val="22"/>
        </w:rPr>
        <w:t xml:space="preserve">Risk reduction represents another key benefit category. Shadow SaaS detection capabilities reduce the security risk surface by identifying unauthorized applications that may expose sensitive data. Compliance risks decrease through automated policy enforcement and comprehensive audit trails. Renewal risk diminishes as the predictive engine provides advance notice of upcoming renewals and identifies optimization opportunities before auto-renewal deadlines.</w:t>
      </w:r>
    </w:p>
    <w:p>
      <w:pPr>
        <w:pStyle w:val="Heading2"/>
      </w:pPr>
      <w:r>
        <w:t xml:space="preserve">9.2 Success Metrics</w:t>
      </w:r>
    </w:p>
    <w:p>
      <w:pPr>
        <w:spacing w:after="150" w:line="312"/>
      </w:pPr>
      <w:r>
        <w:rPr>
          <w:rFonts w:ascii="Times New Roman" w:cs="Times New Roman" w:eastAsia="Times New Roman" w:hAnsi="Times New Roman"/>
          <w:sz w:val="22"/>
          <w:szCs w:val="22"/>
        </w:rPr>
        <w:t xml:space="preserve">We will measure platform success through the following key performance indicators:</w:t>
      </w:r>
    </w:p>
    <w:p>
      <w:pPr>
        <w:pStyle w:val="ListParagraph"/>
        <w:numPr>
          <w:ilvl w:val="0"/>
          <w:numId w:val="4"/>
        </w:numPr>
        <w:spacing w:after="100" w:line="312"/>
      </w:pPr>
      <w:r>
        <w:rPr>
          <w:rFonts w:ascii="Times New Roman" w:cs="Times New Roman" w:eastAsia="Times New Roman" w:hAnsi="Times New Roman"/>
          <w:b/>
          <w:bCs/>
          <w:sz w:val="22"/>
          <w:szCs w:val="22"/>
        </w:rPr>
        <w:t xml:space="preserve">SaaS Spend Reduction: </w:t>
      </w:r>
      <w:r>
        <w:rPr>
          <w:rFonts w:ascii="Times New Roman" w:cs="Times New Roman" w:eastAsia="Times New Roman" w:hAnsi="Times New Roman"/>
          <w:sz w:val="22"/>
          <w:szCs w:val="22"/>
        </w:rPr>
        <w:t xml:space="preserve">Target 25-40% reduction in wasted SaaS spend within 12 months</w:t>
      </w:r>
    </w:p>
    <w:p>
      <w:pPr>
        <w:pStyle w:val="ListParagraph"/>
        <w:numPr>
          <w:ilvl w:val="0"/>
          <w:numId w:val="4"/>
        </w:numPr>
        <w:spacing w:after="100" w:line="312"/>
      </w:pPr>
      <w:r>
        <w:rPr>
          <w:rFonts w:ascii="Times New Roman" w:cs="Times New Roman" w:eastAsia="Times New Roman" w:hAnsi="Times New Roman"/>
          <w:b/>
          <w:bCs/>
          <w:sz w:val="22"/>
          <w:szCs w:val="22"/>
        </w:rPr>
        <w:t xml:space="preserve">License Utilization: </w:t>
      </w:r>
      <w:r>
        <w:rPr>
          <w:rFonts w:ascii="Times New Roman" w:cs="Times New Roman" w:eastAsia="Times New Roman" w:hAnsi="Times New Roman"/>
          <w:sz w:val="22"/>
          <w:szCs w:val="22"/>
        </w:rPr>
        <w:t xml:space="preserve">Increase average utilization rate from 50% to 80%+</w:t>
      </w:r>
    </w:p>
    <w:p>
      <w:pPr>
        <w:pStyle w:val="ListParagraph"/>
        <w:numPr>
          <w:ilvl w:val="0"/>
          <w:numId w:val="4"/>
        </w:numPr>
        <w:spacing w:after="100" w:line="312"/>
      </w:pPr>
      <w:r>
        <w:rPr>
          <w:rFonts w:ascii="Times New Roman" w:cs="Times New Roman" w:eastAsia="Times New Roman" w:hAnsi="Times New Roman"/>
          <w:b/>
          <w:bCs/>
          <w:sz w:val="22"/>
          <w:szCs w:val="22"/>
        </w:rPr>
        <w:t xml:space="preserve">Shadow SaaS Detection: </w:t>
      </w:r>
      <w:r>
        <w:rPr>
          <w:rFonts w:ascii="Times New Roman" w:cs="Times New Roman" w:eastAsia="Times New Roman" w:hAnsi="Times New Roman"/>
          <w:sz w:val="22"/>
          <w:szCs w:val="22"/>
        </w:rPr>
        <w:t xml:space="preserve">Identify 95%+ of unauthorized SaaS applications within 30 days</w:t>
      </w:r>
    </w:p>
    <w:p>
      <w:pPr>
        <w:pStyle w:val="ListParagraph"/>
        <w:numPr>
          <w:ilvl w:val="0"/>
          <w:numId w:val="4"/>
        </w:numPr>
        <w:spacing w:after="100" w:line="312"/>
      </w:pPr>
      <w:r>
        <w:rPr>
          <w:rFonts w:ascii="Times New Roman" w:cs="Times New Roman" w:eastAsia="Times New Roman" w:hAnsi="Times New Roman"/>
          <w:b/>
          <w:bCs/>
          <w:sz w:val="22"/>
          <w:szCs w:val="22"/>
        </w:rPr>
        <w:t xml:space="preserve">Renewal Optimization: </w:t>
      </w:r>
      <w:r>
        <w:rPr>
          <w:rFonts w:ascii="Times New Roman" w:cs="Times New Roman" w:eastAsia="Times New Roman" w:hAnsi="Times New Roman"/>
          <w:sz w:val="22"/>
          <w:szCs w:val="22"/>
        </w:rPr>
        <w:t xml:space="preserve">100% of renewals reviewed before auto-renewal deadline</w:t>
      </w:r>
    </w:p>
    <w:p>
      <w:pPr>
        <w:pStyle w:val="ListParagraph"/>
        <w:numPr>
          <w:ilvl w:val="0"/>
          <w:numId w:val="4"/>
        </w:numPr>
        <w:spacing w:after="100" w:line="312"/>
      </w:pPr>
      <w:r>
        <w:rPr>
          <w:rFonts w:ascii="Times New Roman" w:cs="Times New Roman" w:eastAsia="Times New Roman" w:hAnsi="Times New Roman"/>
          <w:b/>
          <w:bCs/>
          <w:sz w:val="22"/>
          <w:szCs w:val="22"/>
        </w:rPr>
        <w:t xml:space="preserve">User Adoption: </w:t>
      </w:r>
      <w:r>
        <w:rPr>
          <w:rFonts w:ascii="Times New Roman" w:cs="Times New Roman" w:eastAsia="Times New Roman" w:hAnsi="Times New Roman"/>
          <w:sz w:val="22"/>
          <w:szCs w:val="22"/>
        </w:rPr>
        <w:t xml:space="preserve">80%+ of IT and Finance teams actively using platform within 3 months</w:t>
      </w:r>
    </w:p>
    <w:p>
      <w:pPr>
        <w:pStyle w:val="ListParagraph"/>
        <w:numPr>
          <w:ilvl w:val="0"/>
          <w:numId w:val="4"/>
        </w:numPr>
        <w:spacing w:after="200" w:line="312"/>
      </w:pPr>
      <w:r>
        <w:rPr>
          <w:rFonts w:ascii="Times New Roman" w:cs="Times New Roman" w:eastAsia="Times New Roman" w:hAnsi="Times New Roman"/>
          <w:b/>
          <w:bCs/>
          <w:sz w:val="22"/>
          <w:szCs w:val="22"/>
        </w:rPr>
        <w:t xml:space="preserve">Compliance Rate: </w:t>
      </w:r>
      <w:r>
        <w:rPr>
          <w:rFonts w:ascii="Times New Roman" w:cs="Times New Roman" w:eastAsia="Times New Roman" w:hAnsi="Times New Roman"/>
          <w:sz w:val="22"/>
          <w:szCs w:val="22"/>
        </w:rPr>
        <w:t xml:space="preserve">100% of new SaaS acquisitions following approved procurement workflows</w:t>
      </w:r>
    </w:p>
    <w:p>
      <w:pPr>
        <w:pStyle w:val="Heading1"/>
      </w:pPr>
      <w:r>
        <w:t xml:space="preserve">10. Conclusion</w:t>
      </w:r>
    </w:p>
    <w:p>
      <w:pPr>
        <w:spacing w:after="200" w:line="312"/>
      </w:pPr>
      <w:r>
        <w:rPr>
          <w:rFonts w:ascii="Times New Roman" w:cs="Times New Roman" w:eastAsia="Times New Roman" w:hAnsi="Times New Roman"/>
          <w:sz w:val="22"/>
          <w:szCs w:val="22"/>
        </w:rPr>
        <w:t xml:space="preserve">This innovation plan presents a compelling vision for an AI-powered SaaS Cost Optimization Platform that addresses a critical challenge facing government and enterprise organizations today. With 38-50% of software licenses going unused and organizations wasting an average of $18 million annually on SaaS subscriptions, the need for intelligent optimization has never been greater. Our platform uniquely combines predictive analytics, shadow SaaS detection, interactive scenario planning, and government-specific compliance features to deliver a solution that goes far beyond the capabilities of existing market offerings.</w:t>
      </w:r>
    </w:p>
    <w:p>
      <w:pPr>
        <w:spacing w:after="200" w:line="312"/>
      </w:pPr>
      <w:r>
        <w:rPr>
          <w:rFonts w:ascii="Times New Roman" w:cs="Times New Roman" w:eastAsia="Times New Roman" w:hAnsi="Times New Roman"/>
          <w:sz w:val="22"/>
          <w:szCs w:val="22"/>
        </w:rPr>
        <w:t xml:space="preserve">The alignment with Tamil Nadu's digital transformation initiatives positions this platform as not just a cost optimization tool, but as an enabler of the state's broader governance modernization goals. By providing visibility, automation, and intelligence for software asset management, we help government departments demonstrate responsible stewardship of public resources while ensuring that technology investments deliver maximum value to citizens.</w:t>
      </w:r>
    </w:p>
    <w:p>
      <w:pPr>
        <w:spacing w:after="200" w:line="312"/>
      </w:pPr>
      <w:r>
        <w:rPr>
          <w:rFonts w:ascii="Times New Roman" w:cs="Times New Roman" w:eastAsia="Times New Roman" w:hAnsi="Times New Roman"/>
          <w:sz w:val="22"/>
          <w:szCs w:val="22"/>
        </w:rPr>
        <w:t xml:space="preserve">The technical architecture is designed for scalability, security, and extensibility, ensuring that the platform can grow with organizational needs and integrate with the evolving technology landscape. The phased implementation approach enables rapid value delivery while managing complexity, making the platform accessible to organizations of varying sizes and technical maturity.</w:t>
      </w:r>
    </w:p>
    <w:p>
      <w:pPr>
        <w:spacing w:after="200" w:line="312"/>
      </w:pPr>
      <w:r>
        <w:rPr>
          <w:rFonts w:ascii="Times New Roman" w:cs="Times New Roman" w:eastAsia="Times New Roman" w:hAnsi="Times New Roman"/>
          <w:sz w:val="22"/>
          <w:szCs w:val="22"/>
        </w:rPr>
        <w:t xml:space="preserve">We respectfully submit this innovation plan for consideration in the Tamil Nadu National Level Government Hackathon. We are confident that our SaaS Cost Optimization Platform represents a significant opportunity to create lasting impact for government organizations and establish Tamil Nadu as a leader in intelligent technology governance.</w:t>
      </w:r>
    </w:p>
    <w:sectPr>
      <w:headerReference w:type="default" r:id="rId6"/>
      <w:footerReference w:type="default" r:id="rId7"/>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Page </w:t>
    </w:r>
    <w:r>
      <w:rPr>
        <w:color w:val="64748B"/>
        <w:sz w:val="18"/>
        <w:szCs w:val="18"/>
      </w:rPr>
      <w:fldChar w:fldCharType="begin"/>
      <w:instrText xml:space="preserve">PAGE</w:instrText>
      <w:fldChar w:fldCharType="separate"/>
      <w:fldChar w:fldCharType="end"/>
    </w:r>
    <w:r>
      <w:rPr>
        <w:color w:val="64748B"/>
        <w:sz w:val="18"/>
        <w:szCs w:val="18"/>
      </w:rPr>
      <w:t xml:space="preserve"> of </w:t>
    </w:r>
    <w:r>
      <w:rPr>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4748B"/>
        <w:sz w:val="18"/>
        <w:szCs w:val="18"/>
      </w:rPr>
      <w:t xml:space="preserve">SaaS Cost Optimization Platform | Innovation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Times New Roman" w:cs="Times New Roman" w:eastAsia="Times New Roman" w:hAnsi="Times New Roman"/>
      <w:b/>
      <w:bCs/>
      <w:color w:val="020617"/>
      <w:sz w:val="56"/>
      <w:szCs w:val="56"/>
    </w:rPr>
  </w:style>
  <w:style w:type="paragraph" w:styleId="Heading1">
    <w:name w:val="Heading 1"/>
    <w:basedOn w:val="Normal"/>
    <w:next w:val="Normal"/>
    <w:qFormat/>
    <w:pPr>
      <w:spacing w:before="400" w:after="200"/>
      <w:outlineLvl w:val="0"/>
    </w:pPr>
    <w:rPr>
      <w:rFonts w:ascii="Times New Roman" w:cs="Times New Roman" w:eastAsia="Times New Roman" w:hAnsi="Times New Roman"/>
      <w:b/>
      <w:bCs/>
      <w:color w:val="020617"/>
      <w:sz w:val="32"/>
      <w:szCs w:val="32"/>
    </w:rPr>
  </w:style>
  <w:style w:type="paragraph" w:styleId="Heading2">
    <w:name w:val="Heading 2"/>
    <w:basedOn w:val="Normal"/>
    <w:next w:val="Normal"/>
    <w:qFormat/>
    <w:pPr>
      <w:spacing w:before="300" w:after="150"/>
      <w:outlineLvl w:val="1"/>
    </w:pPr>
    <w:rPr>
      <w:rFonts w:ascii="Times New Roman" w:cs="Times New Roman" w:eastAsia="Times New Roman" w:hAnsi="Times New Roman"/>
      <w:b/>
      <w:bCs/>
      <w:color w:val="1E293B"/>
      <w:sz w:val="28"/>
      <w:szCs w:val="28"/>
    </w:rPr>
  </w:style>
  <w:style w:type="paragraph" w:styleId="Heading3">
    <w:name w:val="Heading 3"/>
    <w:basedOn w:val="Normal"/>
    <w:next w:val="Normal"/>
    <w:qFormat/>
    <w:pPr>
      <w:spacing w:before="200" w:after="10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2026-02-14T11:45:10.408Z</dcterms:created>
  <dcterms:modified xsi:type="dcterms:W3CDTF">2026-02-14T11:45:10.408Z</dcterms:modified>
</cp:coreProperties>
</file>

<file path=docProps/custom.xml><?xml version="1.0" encoding="utf-8"?>
<Properties xmlns="http://schemas.openxmlformats.org/officeDocument/2006/custom-properties" xmlns:vt="http://schemas.openxmlformats.org/officeDocument/2006/docPropsVTypes"/>
</file>