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52"/>
        </w:rPr>
        <w:t>CineIntelligence™</w:t>
        <w:br/>
      </w:r>
    </w:p>
    <w:p>
      <w:pPr>
        <w:jc w:val="center"/>
      </w:pPr>
      <w:r>
        <w:rPr>
          <w:rFonts w:ascii="Arial" w:hAnsi="Arial"/>
          <w:i/>
          <w:color w:val="475569"/>
          <w:sz w:val="26"/>
        </w:rPr>
        <w:t>Enterprise Pre-Release Film Rating Prediction &amp; Commercial Acquisition Intelligence Platform</w:t>
        <w:br/>
        <w:t>Detailed Technical, Architectural &amp; Flowchart Specification Report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F6FF"/>
          </w:tcPr>
          <w:p>
            <w:r>
              <w:rPr>
                <w:b/>
              </w:rPr>
              <w:t>Project Author / Lead</w:t>
            </w:r>
          </w:p>
        </w:tc>
        <w:tc>
          <w:tcPr>
            <w:tcW w:type="dxa" w:w="4680"/>
            <w:shd w:fill="F8FAFC"/>
          </w:tcPr>
          <w:p>
            <w:r>
              <w:t>Harish Rohith (iamharishrohith@gmail.com)</w:t>
            </w:r>
          </w:p>
        </w:tc>
      </w:tr>
      <w:tr>
        <w:tc>
          <w:tcPr>
            <w:tcW w:type="dxa" w:w="4680"/>
            <w:shd w:fill="EFF6FF"/>
          </w:tcPr>
          <w:p>
            <w:r>
              <w:rPr>
                <w:b/>
              </w:rPr>
              <w:t>Platform Architecture</w:t>
            </w:r>
          </w:p>
        </w:tc>
        <w:tc>
          <w:tcPr>
            <w:tcW w:type="dxa" w:w="4680"/>
            <w:shd w:fill="F8FAFC"/>
          </w:tcPr>
          <w:p>
            <w:r>
              <w:t>Flask (REST API + Glassmorphic UI) &amp; Streamlit</w:t>
            </w:r>
          </w:p>
        </w:tc>
      </w:tr>
      <w:tr>
        <w:tc>
          <w:tcPr>
            <w:tcW w:type="dxa" w:w="4680"/>
            <w:shd w:fill="EFF6FF"/>
          </w:tcPr>
          <w:p>
            <w:r>
              <w:rPr>
                <w:b/>
              </w:rPr>
              <w:t>Machine Learning Engine</w:t>
            </w:r>
          </w:p>
        </w:tc>
        <w:tc>
          <w:tcPr>
            <w:tcW w:type="dxa" w:w="4680"/>
            <w:shd w:fill="F8FAFC"/>
          </w:tcPr>
          <w:p>
            <w:r>
              <w:t>Scikit-Learn Gradient Boosting Classifier (0.9980 F1)</w:t>
            </w:r>
          </w:p>
        </w:tc>
      </w:tr>
      <w:tr>
        <w:tc>
          <w:tcPr>
            <w:tcW w:type="dxa" w:w="4680"/>
            <w:shd w:fill="EFF6FF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4680"/>
            <w:shd w:fill="F8FAFC"/>
          </w:tcPr>
          <w:p>
            <w:r>
              <w:t>https://github.com/iamharishrohith/CineIntelligence</w:t>
            </w:r>
          </w:p>
        </w:tc>
      </w:tr>
    </w:tbl>
    <w:p>
      <w:pPr>
        <w:spacing w:after="360"/>
      </w:pP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1. Executive Summary &amp; Vision</w:t>
      </w:r>
    </w:p>
    <w:p>
      <w:r>
        <w:t>CineIntelligence™ is a state-of-the-art enterprise AI decision-support platform engineered specifically for theatrical film distributors, OTT streaming networks (Netflix, Amazon Prime Video, Disney+ Hotstar), and independent film production studios. The platform evaluates pre-release movie proposals, predicts expected IMDb rating categories (High ≥ 7.5, Medium 5.5 - 7.4, Low &lt; 5.5), and outputs automated commercial acquisition recommendations, greenlight risk badges, and marketing budget allocations.</w:t>
      </w: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2. Problem Statement &amp; Financial Risk Analysis</w:t>
      </w:r>
    </w:p>
    <w:p>
      <w:r>
        <w:t>In the global entertainment and film distribution industry, content acquisition executives spend millions acquiring theatrical and streaming distribution rights long before a film is completed or released to audiences. Traditionally, acquisition decisions have relied heavily on subjective script reviews and unquantified star reputation.</w:t>
      </w:r>
    </w:p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stateme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3. User Interaction &amp; Journey Flowchart</w:t>
      </w:r>
    </w:p>
    <w:p>
      <w:r>
        <w:t>The user flow defines how acquisition executives, studio heads, and producers navigate the system from initial landing to final recommendation rendering:</w:t>
      </w:r>
    </w:p>
    <w:p>
      <w:pPr>
        <w:spacing w:before="160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</w:tcPr>
          <w:p>
            <w:r>
              <w:rPr>
                <w:b/>
                <w:color w:val="2563EB"/>
                <w:sz w:val="22"/>
              </w:rPr>
              <w:t>📌 User Journey Flowchart</w:t>
              <w:br/>
            </w:r>
            <w:r>
              <w:rPr>
                <w:color w:val="0F172A"/>
                <w:sz w:val="20"/>
              </w:rPr>
              <w:t xml:space="preserve">[User Arrives at Platform] ➔ </w:t>
            </w:r>
            <w:r>
              <w:rPr>
                <w:color w:val="0F172A"/>
                <w:sz w:val="20"/>
              </w:rPr>
              <w:t xml:space="preserve">[Select Page (Home / App / About)] ➔ </w:t>
            </w:r>
            <w:r>
              <w:rPr>
                <w:color w:val="0F172A"/>
                <w:sz w:val="20"/>
              </w:rPr>
              <w:t xml:space="preserve">[Select Input Mode (Instant Preset vs Manual Input)] ➔ </w:t>
            </w:r>
            <w:r>
              <w:rPr>
                <w:color w:val="0F172A"/>
                <w:sz w:val="20"/>
              </w:rPr>
              <w:t xml:space="preserve">[Form Pre-filled / Submitted] ➔ </w:t>
            </w:r>
            <w:r>
              <w:rPr>
                <w:color w:val="0F172A"/>
                <w:sz w:val="20"/>
              </w:rPr>
              <w:t xml:space="preserve">[POST /api/predict Execution] ➔ </w:t>
            </w:r>
            <w:r>
              <w:rPr>
                <w:color w:val="0F172A"/>
                <w:sz w:val="20"/>
              </w:rPr>
              <w:t xml:space="preserve">[Category Output (High / Medium / Low)] ➔ </w:t>
            </w:r>
            <w:r>
              <w:rPr>
                <w:color w:val="0F172A"/>
                <w:sz w:val="20"/>
              </w:rPr>
              <w:t>[Doughnut Chart &amp; Strategic Acquisition Advice Rendered]</w:t>
            </w:r>
          </w:p>
        </w:tc>
      </w:tr>
    </w:tbl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4. Proposed Solution &amp; Key Innovations</w:t>
      </w:r>
    </w:p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innovat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b/>
          <w:color w:val="0F172A"/>
        </w:rPr>
        <w:t xml:space="preserve">1. Pan-India Star Synergy Engine: </w:t>
      </w:r>
      <w:r>
        <w:rPr>
          <w:color w:val="475569"/>
        </w:rPr>
        <w:t>Computes dynamic reputation indices (1.0 - 10.0) across Directors, Lead Actors, Actresses, Co-actors, and Music Composers.</w:t>
      </w:r>
    </w:p>
    <w:p>
      <w:pPr>
        <w:pStyle w:val="ListBullet"/>
        <w:spacing w:after="80"/>
      </w:pPr>
      <w:r>
        <w:rPr>
          <w:b/>
          <w:color w:val="0F172A"/>
        </w:rPr>
        <w:t xml:space="preserve">2. Multi-Currency Global Budget Converter: </w:t>
      </w:r>
      <w:r>
        <w:rPr>
          <w:color w:val="475569"/>
        </w:rPr>
        <w:t>Supports budget inputs across 4 currencies (INR ₹, USD $, EUR €, GBP £) and 4 units (Crores, Lakhs, Millions, Thousands).</w:t>
      </w:r>
    </w:p>
    <w:p>
      <w:pPr>
        <w:pStyle w:val="ListBullet"/>
        <w:spacing w:after="80"/>
      </w:pPr>
      <w:r>
        <w:rPr>
          <w:b/>
          <w:color w:val="0F172A"/>
        </w:rPr>
        <w:t xml:space="preserve">3. 52+ Journal Content Theme Vectorizer: </w:t>
      </w:r>
      <w:r>
        <w:rPr>
          <w:color w:val="475569"/>
        </w:rPr>
        <w:t>Vectorizes 52 multi-select journal content themes and popularity driver tags.</w:t>
      </w: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5. End-to-End Data Flowchart &amp; Pipeline Architecture</w:t>
      </w:r>
    </w:p>
    <w:p>
      <w:r>
        <w:t>The data flow defines the movement and transformation of data from client form inputs to 66-dimensional feature vectors, preprocessing, ML inference, and strategic output:</w:t>
      </w:r>
    </w:p>
    <w:p>
      <w:pPr>
        <w:spacing w:before="160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</w:tcPr>
          <w:p>
            <w:r>
              <w:rPr>
                <w:b/>
                <w:color w:val="2563EB"/>
                <w:sz w:val="22"/>
              </w:rPr>
              <w:t>📌 Data Flowchart Architecture</w:t>
              <w:br/>
            </w:r>
            <w:r>
              <w:rPr>
                <w:color w:val="0F172A"/>
                <w:sz w:val="20"/>
              </w:rPr>
              <w:t xml:space="preserve">[Form Inputs JSON Payload] ➔ </w:t>
            </w:r>
            <w:r>
              <w:rPr>
                <w:color w:val="0F172A"/>
                <w:sz w:val="20"/>
              </w:rPr>
              <w:t xml:space="preserve">[Star Synergy Index Lookup] ➔ </w:t>
            </w:r>
            <w:r>
              <w:rPr>
                <w:color w:val="0F172A"/>
                <w:sz w:val="20"/>
              </w:rPr>
              <w:t xml:space="preserve">[Multi-Currency USD Scaling] ➔ </w:t>
            </w:r>
            <w:r>
              <w:rPr>
                <w:color w:val="0F172A"/>
                <w:sz w:val="20"/>
              </w:rPr>
              <w:t xml:space="preserve">[52+ Theme Vectorizer] ➔ </w:t>
            </w:r>
            <w:r>
              <w:rPr>
                <w:color w:val="0F172A"/>
                <w:sz w:val="20"/>
              </w:rPr>
              <w:t xml:space="preserve">[66D Feature Vector] ➔ </w:t>
            </w:r>
            <w:r>
              <w:rPr>
                <w:color w:val="0F172A"/>
                <w:sz w:val="20"/>
              </w:rPr>
              <w:t xml:space="preserve">[Scikit-Learn Preprocessor] ➔ </w:t>
            </w:r>
            <w:r>
              <w:rPr>
                <w:color w:val="0F172A"/>
                <w:sz w:val="20"/>
              </w:rPr>
              <w:t xml:space="preserve">[Gradient Boosting Inference] ➔ </w:t>
            </w:r>
            <w:r>
              <w:rPr>
                <w:color w:val="0F172A"/>
                <w:sz w:val="20"/>
              </w:rPr>
              <w:t xml:space="preserve">[Category Probabilities] ➔ </w:t>
            </w:r>
            <w:r>
              <w:rPr>
                <w:color w:val="0F172A"/>
                <w:sz w:val="20"/>
              </w:rPr>
              <w:t>[Strategic Advice Matrix Response]</w:t>
            </w:r>
          </w:p>
        </w:tc>
      </w:tr>
    </w:tbl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r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6. Machine Learning Model Training Workflow Flowchart</w:t>
      </w:r>
    </w:p>
    <w:p>
      <w:r>
        <w:t>The machine learning lifecycle flow ensures rigorous model benchmarking and zero data leakage:</w:t>
      </w:r>
    </w:p>
    <w:p>
      <w:pPr>
        <w:spacing w:before="160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</w:tcPr>
          <w:p>
            <w:r>
              <w:rPr>
                <w:b/>
                <w:color w:val="2563EB"/>
                <w:sz w:val="22"/>
              </w:rPr>
              <w:t>📌 Machine Learning Workflow Flowchart</w:t>
              <w:br/>
            </w:r>
            <w:r>
              <w:rPr>
                <w:color w:val="0F172A"/>
                <w:sz w:val="20"/>
              </w:rPr>
              <w:t xml:space="preserve">[Data Ingestion (4,883 Records)] ➔ </w:t>
            </w:r>
            <w:r>
              <w:rPr>
                <w:color w:val="0F172A"/>
                <w:sz w:val="20"/>
              </w:rPr>
              <w:t xml:space="preserve">[Data Cleaning &amp; Imputation] ➔ </w:t>
            </w:r>
            <w:r>
              <w:rPr>
                <w:color w:val="0F172A"/>
                <w:sz w:val="20"/>
              </w:rPr>
              <w:t xml:space="preserve">[Domain Feature Engineering (66D)] ➔ </w:t>
            </w:r>
            <w:r>
              <w:rPr>
                <w:color w:val="0F172A"/>
                <w:sz w:val="20"/>
              </w:rPr>
              <w:t xml:space="preserve">[Stratified 80/20 Train-Test Split] ➔ </w:t>
            </w:r>
            <w:r>
              <w:rPr>
                <w:color w:val="0F172A"/>
                <w:sz w:val="20"/>
              </w:rPr>
              <w:t xml:space="preserve">[Fit Imputer + OneHot + Scaler on Train Set ONLY] ➔ </w:t>
            </w:r>
            <w:r>
              <w:rPr>
                <w:color w:val="0F172A"/>
                <w:sz w:val="20"/>
              </w:rPr>
              <w:t xml:space="preserve">[Multi-Model Benchmarking (GB, RF, LR, XGB)] ➔ </w:t>
            </w:r>
            <w:r>
              <w:rPr>
                <w:color w:val="0F172A"/>
                <w:sz w:val="20"/>
              </w:rPr>
              <w:t xml:space="preserve">[Metric Evaluation (Accuracy: 0.9980, F1: 0.9980)] ➔ </w:t>
            </w:r>
            <w:r>
              <w:rPr>
                <w:color w:val="0F172A"/>
                <w:sz w:val="20"/>
              </w:rPr>
              <w:t>[Artifact Serialization (best_model.joblib)]</w:t>
            </w:r>
          </w:p>
        </w:tc>
      </w:tr>
    </w:tbl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7. Technology Stack &amp; Frameworks</w:t>
      </w:r>
    </w:p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stac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8. Model Evaluation Benchmarks &amp;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Algorithm</w:t>
            </w:r>
          </w:p>
        </w:tc>
        <w:tc>
          <w:tcPr>
            <w:tcW w:type="dxa" w:w="15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5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5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5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F1 Score</w:t>
            </w:r>
          </w:p>
        </w:tc>
        <w:tc>
          <w:tcPr>
            <w:tcW w:type="dxa" w:w="15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</w:tr>
      <w:tr>
        <w:tc>
          <w:tcPr>
            <w:tcW w:type="dxa" w:w="1560"/>
            <w:shd w:fill="F0FDF4"/>
          </w:tcPr>
          <w:p>
            <w:r>
              <w:rPr>
                <w:b/>
              </w:rPr>
              <w:t>Gradient Boosting ⭐ (Selected)</w:t>
            </w:r>
          </w:p>
        </w:tc>
        <w:tc>
          <w:tcPr>
            <w:tcW w:type="dxa" w:w="1560"/>
            <w:shd w:fill="F0FDF4"/>
          </w:tcPr>
          <w:p>
            <w:pPr>
              <w:jc w:val="center"/>
            </w:pPr>
            <w:r>
              <w:rPr>
                <w:b/>
              </w:rPr>
              <w:t>0.9980</w:t>
            </w:r>
          </w:p>
        </w:tc>
        <w:tc>
          <w:tcPr>
            <w:tcW w:type="dxa" w:w="1560"/>
            <w:shd w:fill="F0FDF4"/>
          </w:tcPr>
          <w:p>
            <w:pPr>
              <w:jc w:val="center"/>
            </w:pPr>
            <w:r>
              <w:rPr>
                <w:b/>
              </w:rPr>
              <w:t>0.9980</w:t>
            </w:r>
          </w:p>
        </w:tc>
        <w:tc>
          <w:tcPr>
            <w:tcW w:type="dxa" w:w="1560"/>
            <w:shd w:fill="F0FDF4"/>
          </w:tcPr>
          <w:p>
            <w:pPr>
              <w:jc w:val="center"/>
            </w:pPr>
            <w:r>
              <w:rPr>
                <w:b/>
              </w:rPr>
              <w:t>0.9980</w:t>
            </w:r>
          </w:p>
        </w:tc>
        <w:tc>
          <w:tcPr>
            <w:tcW w:type="dxa" w:w="1560"/>
            <w:shd w:fill="F0FDF4"/>
          </w:tcPr>
          <w:p>
            <w:pPr>
              <w:jc w:val="center"/>
            </w:pPr>
            <w:r>
              <w:rPr>
                <w:b/>
              </w:rPr>
              <w:t>0.9980</w:t>
            </w:r>
          </w:p>
        </w:tc>
        <w:tc>
          <w:tcPr>
            <w:tcW w:type="dxa" w:w="1560"/>
            <w:shd w:fill="F0FDF4"/>
          </w:tcPr>
          <w:p>
            <w:pPr>
              <w:jc w:val="center"/>
            </w:pPr>
            <w:r>
              <w:rPr>
                <w:b/>
              </w:rPr>
              <w:t>0.9998</w:t>
            </w:r>
          </w:p>
        </w:tc>
      </w:tr>
      <w:tr>
        <w:tc>
          <w:tcPr>
            <w:tcW w:type="dxa" w:w="1560"/>
            <w:shd w:fill="F8FAFC"/>
          </w:tcPr>
          <w:p>
            <w:r>
              <w:t>Random Forest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0.9949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0.9949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0.9949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0.9949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0.9995</w:t>
            </w:r>
          </w:p>
        </w:tc>
      </w:tr>
      <w:tr>
        <w:tc>
          <w:tcPr>
            <w:tcW w:type="dxa" w:w="1560"/>
            <w:shd w:fill="FFFFFF"/>
          </w:tcPr>
          <w:p>
            <w:r>
              <w:t>Logistic Regression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t>0.9836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t>0.9837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t>0.9836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t>0.9836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t>0.9962</w:t>
            </w:r>
          </w:p>
        </w:tc>
      </w:tr>
      <w:tr>
        <w:tc>
          <w:tcPr>
            <w:tcW w:type="dxa" w:w="1560"/>
            <w:shd w:fill="F8FAFC"/>
          </w:tcPr>
          <w:p>
            <w:r>
              <w:t>Decision Tree / XGBoost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0.9816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0.9816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0.9816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0.9816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0.9862</w:t>
            </w:r>
          </w:p>
        </w:tc>
      </w:tr>
    </w:tbl>
    <w:p>
      <w:pPr>
        <w:spacing w:after="280"/>
      </w:pP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9. Commercial Acquisition Strategy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Predicted Category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Action Badge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Marketing Spend %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Platform Placement</w:t>
            </w:r>
          </w:p>
        </w:tc>
      </w:tr>
      <w:tr>
        <w:tc>
          <w:tcPr>
            <w:tcW w:type="dxa" w:w="2340"/>
            <w:shd w:fill="F0FDF4"/>
          </w:tcPr>
          <w:p>
            <w:r>
              <w:t>High Quality (≥ 7.5)</w:t>
            </w:r>
          </w:p>
        </w:tc>
        <w:tc>
          <w:tcPr>
            <w:tcW w:type="dxa" w:w="2340"/>
            <w:shd w:fill="F0FDF4"/>
          </w:tcPr>
          <w:p>
            <w:r>
              <w:t>Greenlight / Instant Acquisition</w:t>
            </w:r>
          </w:p>
        </w:tc>
        <w:tc>
          <w:tcPr>
            <w:tcW w:type="dxa" w:w="2340"/>
            <w:shd w:fill="F0FDF4"/>
          </w:tcPr>
          <w:p>
            <w:r>
              <w:t>25% - 35% of Budget</w:t>
            </w:r>
          </w:p>
        </w:tc>
        <w:tc>
          <w:tcPr>
            <w:tcW w:type="dxa" w:w="2340"/>
            <w:shd w:fill="F0FDF4"/>
          </w:tcPr>
          <w:p>
            <w:r>
              <w:t>Prime-Time Digital Premiere &amp; Global Theatrical</w:t>
            </w:r>
          </w:p>
        </w:tc>
      </w:tr>
      <w:tr>
        <w:tc>
          <w:tcPr>
            <w:tcW w:type="dxa" w:w="2340"/>
            <w:shd w:fill="FFFBEB"/>
          </w:tcPr>
          <w:p>
            <w:r>
              <w:t>Medium Quality (5.5 - 7.4)</w:t>
            </w:r>
          </w:p>
        </w:tc>
        <w:tc>
          <w:tcPr>
            <w:tcW w:type="dxa" w:w="2340"/>
            <w:shd w:fill="FFFBEB"/>
          </w:tcPr>
          <w:p>
            <w:r>
              <w:t>Conditional Acquisition</w:t>
            </w:r>
          </w:p>
        </w:tc>
        <w:tc>
          <w:tcPr>
            <w:tcW w:type="dxa" w:w="2340"/>
            <w:shd w:fill="FFFBEB"/>
          </w:tcPr>
          <w:p>
            <w:r>
              <w:t>10% - 20% of Budget</w:t>
            </w:r>
          </w:p>
        </w:tc>
        <w:tc>
          <w:tcPr>
            <w:tcW w:type="dxa" w:w="2340"/>
            <w:shd w:fill="FFFBEB"/>
          </w:tcPr>
          <w:p>
            <w:r>
              <w:t>SVOD Standard Catalog &amp; Regional Theatrical</w:t>
            </w:r>
          </w:p>
        </w:tc>
      </w:tr>
      <w:tr>
        <w:tc>
          <w:tcPr>
            <w:tcW w:type="dxa" w:w="2340"/>
            <w:shd w:fill="FEF2F2"/>
          </w:tcPr>
          <w:p>
            <w:r>
              <w:t>Low Quality (&lt; 5.5)</w:t>
            </w:r>
          </w:p>
        </w:tc>
        <w:tc>
          <w:tcPr>
            <w:tcW w:type="dxa" w:w="2340"/>
            <w:shd w:fill="FEF2F2"/>
          </w:tcPr>
          <w:p>
            <w:r>
              <w:t>Pass / High Risk Acquisition</w:t>
            </w:r>
          </w:p>
        </w:tc>
        <w:tc>
          <w:tcPr>
            <w:tcW w:type="dxa" w:w="2340"/>
            <w:shd w:fill="FEF2F2"/>
          </w:tcPr>
          <w:p>
            <w:r>
              <w:t>Minimal (&lt; 5%)</w:t>
            </w:r>
          </w:p>
        </w:tc>
        <w:tc>
          <w:tcPr>
            <w:tcW w:type="dxa" w:w="2340"/>
            <w:shd w:fill="FEF2F2"/>
          </w:tcPr>
          <w:p>
            <w:r>
              <w:t>Ad-Supported AVOD / Licensing Fee Discount</w:t>
            </w:r>
          </w:p>
        </w:tc>
      </w:tr>
    </w:tbl>
    <w:p>
      <w:pPr>
        <w:spacing w:after="2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