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A9D8F" w:sz="18" w:space="6"/>
        </w:pBdr>
        <w:spacing w:after="80"/>
      </w:pPr>
      <w:r>
        <w:rPr>
          <w:rFonts w:ascii="Arial" w:cs="Arial" w:eastAsia="Arial" w:hAnsi="Arial"/>
          <w:b/>
          <w:bCs/>
          <w:color w:val="2A9D8F"/>
          <w:sz w:val="18"/>
          <w:szCs w:val="18"/>
        </w:rPr>
        <w:t xml:space="preserve">DECISION MEMO</w:t>
      </w:r>
    </w:p>
    <w:p>
      <w:pPr>
        <w:spacing w:after="40" w:line="250"/>
      </w:pPr>
      <w:r>
        <w:rPr>
          <w:rFonts w:ascii="Arial" w:cs="Arial" w:eastAsia="Arial" w:hAnsi="Arial"/>
          <w:b/>
          <w:bCs/>
          <w:color w:val="16324F"/>
          <w:sz w:val="31"/>
          <w:szCs w:val="31"/>
        </w:rPr>
        <w:t xml:space="preserve">Omnichannel Retail Performance Command Centre</w:t>
      </w:r>
    </w:p>
    <w:p>
      <w:pPr>
        <w:spacing w:after="80" w:line="250"/>
      </w:pPr>
      <w:r>
        <w:rPr>
          <w:rFonts w:ascii="Arial" w:cs="Arial" w:eastAsia="Arial" w:hAnsi="Arial"/>
          <w:color w:val="52646F"/>
          <w:sz w:val="16"/>
          <w:szCs w:val="16"/>
        </w:rPr>
        <w:t xml:space="preserve">To: Retail Executive Committee     From: Harkirat Singh     Date: 18 July 2026</w:t>
      </w:r>
    </w:p>
    <w:p>
      <w:pPr>
        <w:spacing w:after="75" w:line="250"/>
      </w:pPr>
      <w:r>
        <w:rPr>
          <w:rFonts w:ascii="Arial" w:cs="Arial" w:eastAsia="Arial" w:hAnsi="Arial"/>
          <w:b/>
          <w:bCs/>
          <w:color w:val="16324F"/>
          <w:sz w:val="20"/>
          <w:szCs w:val="20"/>
        </w:rPr>
        <w:t xml:space="preserve">Decision: Reallocate retention, store-diagnostic, and marketing attention using the validated business-case model.</w:t>
      </w:r>
    </w:p>
    <w:p>
      <w:pPr>
        <w:spacing w:after="85" w:line="250"/>
      </w:pPr>
      <w:r>
        <w:rPr>
          <w:rFonts w:ascii="Arial" w:cs="Arial" w:eastAsia="Arial" w:hAnsi="Arial"/>
          <w:color w:val="52646F"/>
          <w:sz w:val="17"/>
          <w:szCs w:val="17"/>
        </w:rPr>
        <w:t xml:space="preserve">Basis: CC BY 4.0 UCI Online Retail transactions combined with deterministic simulated stores, costs, sessions, campaigns, and attribution. Store and marketing results are simulated business-case evidence, not observed company performance.</w:t>
      </w:r>
    </w:p>
    <w:p>
      <w:pPr>
        <w:pStyle w:val="Heading2"/>
        <w:spacing w:after="55" w:before="110"/>
      </w:pPr>
      <w:r>
        <w:rPr>
          <w:rFonts w:ascii="Arial" w:cs="Arial" w:eastAsia="Arial" w:hAnsi="Arial"/>
          <w:b/>
          <w:bCs/>
          <w:color w:val="16324F"/>
          <w:sz w:val="22"/>
          <w:szCs w:val="22"/>
        </w:rPr>
        <w:t xml:space="preserve">1. Protect concentrated customer value; separate retention from reactivation</w:t>
      </w:r>
    </w:p>
    <w:p>
      <w:pPr>
        <w:spacing w:after="55" w:line="250"/>
      </w:pPr>
      <w:r>
        <w:rPr>
          <w:rFonts w:ascii="Arial" w:cs="Arial" w:eastAsia="Arial" w:hAnsi="Arial"/>
          <w:color w:val="202A30"/>
          <w:sz w:val="19"/>
          <w:szCs w:val="19"/>
        </w:rPr>
        <w:t xml:space="preserve">Champions are 714 of 4,371 identified customers (16.3%) but generate 46.1% of monetary value and average £1,793 observed historical CLV. At Risk and Lost segments contain 1,335 customers (30.5%). In the unsimulated UCI core, 65.6% of 4,338 identified purchasing customers place at least two completed orders.</w:t>
      </w:r>
    </w:p>
    <w:p>
      <w:pPr>
        <w:pBdr>
          <w:left w:val="single" w:color="2A9D8F" w:sz="14" w:space="8"/>
        </w:pBdr>
        <w:spacing w:after="90" w:line="245"/>
      </w:pPr>
      <w:r>
        <w:rPr>
          <w:rFonts w:ascii="Arial" w:cs="Arial" w:eastAsia="Arial" w:hAnsi="Arial"/>
          <w:b/>
          <w:bCs/>
          <w:color w:val="2A9D8F"/>
          <w:sz w:val="18"/>
          <w:szCs w:val="18"/>
        </w:rPr>
        <w:t xml:space="preserve">Action: </w:t>
      </w:r>
      <w:r>
        <w:rPr>
          <w:rFonts w:ascii="Arial" w:cs="Arial" w:eastAsia="Arial" w:hAnsi="Arial"/>
          <w:color w:val="202A30"/>
          <w:sz w:val="18"/>
          <w:szCs w:val="18"/>
        </w:rPr>
        <w:t xml:space="preserve">Protect Champions with service and loyalty treatment. Run a capped reactivation test for At Risk customers; suppress Lost customers after two failed contacts.</w:t>
      </w:r>
    </w:p>
    <w:p>
      <w:pPr>
        <w:pStyle w:val="Heading2"/>
        <w:spacing w:after="55" w:before="110"/>
      </w:pPr>
      <w:r>
        <w:rPr>
          <w:rFonts w:ascii="Arial" w:cs="Arial" w:eastAsia="Arial" w:hAnsi="Arial"/>
          <w:b/>
          <w:bCs/>
          <w:color w:val="16324F"/>
          <w:sz w:val="22"/>
          <w:szCs w:val="22"/>
        </w:rPr>
        <w:t xml:space="preserve">2. Diagnose matched-store gaps before changing network-wide targets</w:t>
      </w:r>
    </w:p>
    <w:p>
      <w:pPr>
        <w:spacing w:after="55" w:line="250"/>
      </w:pPr>
      <w:r>
        <w:rPr>
          <w:rFonts w:ascii="Arial" w:cs="Arial" w:eastAsia="Arial" w:hAnsi="Arial"/>
          <w:color w:val="202A30"/>
          <w:sz w:val="19"/>
          <w:szCs w:val="19"/>
        </w:rPr>
        <w:t xml:space="preserve">In the simulated large-store tier, Manchester is £94,542 (+18.0%) above its peer baseline while Birmingham is £94,542 (-18.0%) below. Leeds is £44,976 (+11.4%) above the standard-store baseline; Bristol is £27,233 (-6.9%) below.</w:t>
      </w:r>
    </w:p>
    <w:p>
      <w:pPr>
        <w:pBdr>
          <w:left w:val="single" w:color="2A9D8F" w:sz="14" w:space="8"/>
        </w:pBdr>
        <w:spacing w:after="90" w:line="245"/>
      </w:pPr>
      <w:r>
        <w:rPr>
          <w:rFonts w:ascii="Arial" w:cs="Arial" w:eastAsia="Arial" w:hAnsi="Arial"/>
          <w:b/>
          <w:bCs/>
          <w:color w:val="2A9D8F"/>
          <w:sz w:val="18"/>
          <w:szCs w:val="18"/>
        </w:rPr>
        <w:t xml:space="preserve">Action: </w:t>
      </w:r>
      <w:r>
        <w:rPr>
          <w:rFonts w:ascii="Arial" w:cs="Arial" w:eastAsia="Arial" w:hAnsi="Arial"/>
          <w:color w:val="202A30"/>
          <w:sz w:val="18"/>
          <w:szCs w:val="18"/>
        </w:rPr>
        <w:t xml:space="preserve">Compare each matched pair on category mix, returns, conversion, discounting, and staffing. Transfer only practices that survive those checks.</w:t>
      </w:r>
    </w:p>
    <w:p>
      <w:pPr>
        <w:pStyle w:val="Heading2"/>
        <w:spacing w:after="55" w:before="110"/>
      </w:pPr>
      <w:r>
        <w:rPr>
          <w:rFonts w:ascii="Arial" w:cs="Arial" w:eastAsia="Arial" w:hAnsi="Arial"/>
          <w:b/>
          <w:bCs/>
          <w:color w:val="16324F"/>
          <w:sz w:val="22"/>
          <w:szCs w:val="22"/>
        </w:rPr>
        <w:t xml:space="preserve">3. Stop simulated Social spend from absorbing margin</w:t>
      </w:r>
    </w:p>
    <w:p>
      <w:pPr>
        <w:spacing w:after="55" w:line="250"/>
      </w:pPr>
      <w:r>
        <w:rPr>
          <w:rFonts w:ascii="Arial" w:cs="Arial" w:eastAsia="Arial" w:hAnsi="Arial"/>
          <w:color w:val="202A30"/>
          <w:sz w:val="19"/>
          <w:szCs w:val="19"/>
        </w:rPr>
        <w:t xml:space="preserve">Simulated Social produces -47.0% ROI and £421 acquisition cost. Email produces +52.4% ROI at £168 per conversion; Paid Search produces +51.1% at £165.</w:t>
      </w:r>
    </w:p>
    <w:p>
      <w:pPr>
        <w:pBdr>
          <w:left w:val="single" w:color="2A9D8F" w:sz="14" w:space="8"/>
        </w:pBdr>
        <w:spacing w:after="90" w:line="245"/>
      </w:pPr>
      <w:r>
        <w:rPr>
          <w:rFonts w:ascii="Arial" w:cs="Arial" w:eastAsia="Arial" w:hAnsi="Arial"/>
          <w:b/>
          <w:bCs/>
          <w:color w:val="2A9D8F"/>
          <w:sz w:val="18"/>
          <w:szCs w:val="18"/>
        </w:rPr>
        <w:t xml:space="preserve">Action: </w:t>
      </w:r>
      <w:r>
        <w:rPr>
          <w:rFonts w:ascii="Arial" w:cs="Arial" w:eastAsia="Arial" w:hAnsi="Arial"/>
          <w:color w:val="202A30"/>
          <w:sz w:val="18"/>
          <w:szCs w:val="18"/>
        </w:rPr>
        <w:t xml:space="preserve">Reduce Social prospecting in the next simulated planning cycle, move the test budget to Email and Paid Search, and preserve a Social holdout.</w:t>
      </w:r>
    </w:p>
    <w:p>
      <w:r>
        <w:br w:type="page"/>
      </w:r>
    </w:p>
    <w:p>
      <w:pPr>
        <w:pStyle w:val="Heading1"/>
      </w:pPr>
      <w:r>
        <w:t xml:space="preserve">Limitations</w:t>
      </w:r>
    </w:p>
    <w:p>
      <w:pPr>
        <w:pStyle w:val="ListParagraph"/>
        <w:numPr>
          <w:ilvl w:val="0"/>
          <w:numId w:val="2"/>
        </w:numPr>
        <w:spacing w:after="65" w:line="235"/>
      </w:pPr>
      <w:r>
        <w:rPr>
          <w:rFonts w:ascii="Arial" w:cs="Arial" w:eastAsia="Arial" w:hAnsi="Arial"/>
          <w:color w:val="202A30"/>
          <w:sz w:val="18"/>
          <w:szCs w:val="18"/>
        </w:rPr>
        <w:t xml:space="preserve">The public source is historical and online-only; it does not represent current retail conditions.</w:t>
      </w:r>
    </w:p>
    <w:p>
      <w:pPr>
        <w:pStyle w:val="ListParagraph"/>
        <w:numPr>
          <w:ilvl w:val="0"/>
          <w:numId w:val="2"/>
        </w:numPr>
        <w:spacing w:after="65" w:line="235"/>
      </w:pPr>
      <w:r>
        <w:rPr>
          <w:rFonts w:ascii="Arial" w:cs="Arial" w:eastAsia="Arial" w:hAnsi="Arial"/>
          <w:color w:val="202A30"/>
          <w:sz w:val="18"/>
          <w:szCs w:val="18"/>
        </w:rPr>
        <w:t xml:space="preserve">Physical stores, costs, categories, sessions, campaigns, spend, and attribution are simulated.</w:t>
      </w:r>
    </w:p>
    <w:p>
      <w:pPr>
        <w:pStyle w:val="ListParagraph"/>
        <w:numPr>
          <w:ilvl w:val="0"/>
          <w:numId w:val="2"/>
        </w:numPr>
        <w:spacing w:after="65" w:line="235"/>
      </w:pPr>
      <w:r>
        <w:rPr>
          <w:rFonts w:ascii="Arial" w:cs="Arial" w:eastAsia="Arial" w:hAnsi="Arial"/>
          <w:color w:val="202A30"/>
          <w:sz w:val="18"/>
          <w:szCs w:val="18"/>
        </w:rPr>
        <w:t xml:space="preserve">Last non-direct attribution assigns credit; it does not estimate causal lift.</w:t>
      </w:r>
    </w:p>
    <w:p>
      <w:pPr>
        <w:pStyle w:val="ListParagraph"/>
        <w:numPr>
          <w:ilvl w:val="0"/>
          <w:numId w:val="2"/>
        </w:numPr>
        <w:spacing w:after="65" w:line="235"/>
      </w:pPr>
      <w:r>
        <w:rPr>
          <w:rFonts w:ascii="Arial" w:cs="Arial" w:eastAsia="Arial" w:hAnsi="Arial"/>
          <w:color w:val="202A30"/>
          <w:sz w:val="18"/>
          <w:szCs w:val="18"/>
        </w:rPr>
        <w:t xml:space="preserve">Customer IDs are missing for 135,080 raw rows, so customer metrics exclude anonymous transactions.</w:t>
      </w:r>
    </w:p>
    <w:p>
      <w:pPr>
        <w:pStyle w:val="ListParagraph"/>
        <w:numPr>
          <w:ilvl w:val="0"/>
          <w:numId w:val="2"/>
        </w:numPr>
        <w:spacing w:after="65" w:line="235"/>
      </w:pPr>
      <w:r>
        <w:rPr>
          <w:rFonts w:ascii="Arial" w:cs="Arial" w:eastAsia="Arial" w:hAnsi="Arial"/>
          <w:color w:val="202A30"/>
          <w:sz w:val="18"/>
          <w:szCs w:val="18"/>
        </w:rPr>
        <w:t xml:space="preserve">December 2011 contains nine days and is excluded from complete-month comparisons.</w:t>
      </w:r>
    </w:p>
    <w:p>
      <w:pPr>
        <w:pStyle w:val="ListParagraph"/>
        <w:numPr>
          <w:ilvl w:val="0"/>
          <w:numId w:val="2"/>
        </w:numPr>
        <w:spacing w:after="65" w:line="235"/>
      </w:pPr>
      <w:r>
        <w:rPr>
          <w:rFonts w:ascii="Arial" w:cs="Arial" w:eastAsia="Arial" w:hAnsi="Arial"/>
          <w:color w:val="202A30"/>
          <w:sz w:val="18"/>
          <w:szCs w:val="18"/>
        </w:rPr>
        <w:t xml:space="preserve">DAX-to-SQL reconciliation covers six scenarios; other filter combinations remain untested.</w:t>
      </w:r>
    </w:p>
    <w:p>
      <w:pPr>
        <w:pStyle w:val="Heading1"/>
      </w:pPr>
      <w:r>
        <w:t xml:space="preserve">Metrics to monitor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5166"/>
        <w:gridCol w:w="1500"/>
        <w:gridCol w:w="1650"/>
      </w:tblGrid>
      <w:tr>
        <w:tc>
          <w:tcPr>
            <w:tcW w:type="dxa" w:w="215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1632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Decision area</w:t>
            </w:r>
          </w:p>
        </w:tc>
        <w:tc>
          <w:tcPr>
            <w:tcW w:type="dxa" w:w="5166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1632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Metrics</w:t>
            </w:r>
          </w:p>
        </w:tc>
        <w:tc>
          <w:tcPr>
            <w:tcW w:type="dxa" w:w="15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1632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Cadence</w:t>
            </w:r>
          </w:p>
        </w:tc>
        <w:tc>
          <w:tcPr>
            <w:tcW w:type="dxa" w:w="165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1632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Trigger</w:t>
            </w:r>
          </w:p>
        </w:tc>
      </w:tr>
      <w:tr>
        <w:tc>
          <w:tcPr>
            <w:tcW w:type="dxa" w:w="215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A30"/>
                <w:sz w:val="16"/>
                <w:szCs w:val="16"/>
              </w:rPr>
              <w:t xml:space="preserve">Customer value</w:t>
            </w:r>
          </w:p>
        </w:tc>
        <w:tc>
          <w:tcPr>
            <w:tcW w:type="dxa" w:w="5166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A30"/>
                <w:sz w:val="16"/>
                <w:szCs w:val="16"/>
              </w:rPr>
              <w:t xml:space="preserve">Retention, repeat rate, segment migration, CLV, contribution/customer</w:t>
            </w:r>
          </w:p>
        </w:tc>
        <w:tc>
          <w:tcPr>
            <w:tcW w:type="dxa" w:w="15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A30"/>
                <w:sz w:val="16"/>
                <w:szCs w:val="16"/>
              </w:rPr>
              <w:t xml:space="preserve">Monthly</w:t>
            </w:r>
          </w:p>
        </w:tc>
        <w:tc>
          <w:tcPr>
            <w:tcW w:type="dxa" w:w="165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A30"/>
                <w:sz w:val="16"/>
                <w:szCs w:val="16"/>
              </w:rPr>
              <w:t xml:space="preserve">Two declines</w:t>
            </w:r>
          </w:p>
        </w:tc>
      </w:tr>
      <w:tr>
        <w:tc>
          <w:tcPr>
            <w:tcW w:type="dxa" w:w="215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A30"/>
                <w:sz w:val="16"/>
                <w:szCs w:val="16"/>
              </w:rPr>
              <w:t xml:space="preserve">Store operations</w:t>
            </w:r>
          </w:p>
        </w:tc>
        <w:tc>
          <w:tcPr>
            <w:tcW w:type="dxa" w:w="5166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A30"/>
                <w:sz w:val="16"/>
                <w:szCs w:val="16"/>
              </w:rPr>
              <w:t xml:space="preserve">Revenue, margin rate, returns, peer variance by format/category</w:t>
            </w:r>
          </w:p>
        </w:tc>
        <w:tc>
          <w:tcPr>
            <w:tcW w:type="dxa" w:w="15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A30"/>
                <w:sz w:val="16"/>
                <w:szCs w:val="16"/>
              </w:rPr>
              <w:t xml:space="preserve">Weekly/monthly</w:t>
            </w:r>
          </w:p>
        </w:tc>
        <w:tc>
          <w:tcPr>
            <w:tcW w:type="dxa" w:w="165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A30"/>
                <w:sz w:val="16"/>
                <w:szCs w:val="16"/>
              </w:rPr>
              <w:t xml:space="preserve">Two negative periods</w:t>
            </w:r>
          </w:p>
        </w:tc>
      </w:tr>
      <w:tr>
        <w:tc>
          <w:tcPr>
            <w:tcW w:type="dxa" w:w="215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A30"/>
                <w:sz w:val="16"/>
                <w:szCs w:val="16"/>
              </w:rPr>
              <w:t xml:space="preserve">Marketing</w:t>
            </w:r>
          </w:p>
        </w:tc>
        <w:tc>
          <w:tcPr>
            <w:tcW w:type="dxa" w:w="5166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A30"/>
                <w:sz w:val="16"/>
                <w:szCs w:val="16"/>
              </w:rPr>
              <w:t xml:space="preserve">Spend, conversion, CAC, attributed revenue, ROAS, ROI, holdout lift</w:t>
            </w:r>
          </w:p>
        </w:tc>
        <w:tc>
          <w:tcPr>
            <w:tcW w:type="dxa" w:w="15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A30"/>
                <w:sz w:val="16"/>
                <w:szCs w:val="16"/>
              </w:rPr>
              <w:t xml:space="preserve">Weekly/close</w:t>
            </w:r>
          </w:p>
        </w:tc>
        <w:tc>
          <w:tcPr>
            <w:tcW w:type="dxa" w:w="165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A30"/>
                <w:sz w:val="16"/>
                <w:szCs w:val="16"/>
              </w:rPr>
              <w:t xml:space="preserve">ROI &lt; 0 or CAC &gt; contribution</w:t>
            </w:r>
          </w:p>
        </w:tc>
      </w:tr>
    </w:tbl>
    <w:p>
      <w:pPr>
        <w:spacing w:after="55" w:line="250"/>
      </w:pPr>
      <w:r>
        <w:rPr>
          <w:rFonts w:ascii="Arial" w:cs="Arial" w:eastAsia="Arial" w:hAnsi="Arial"/>
          <w:color w:val="52646F"/>
          <w:sz w:val="16"/>
          <w:szCs w:val="16"/>
        </w:rPr>
        <w:t xml:space="preserve">Evidence: CLM-002 to CLM-008 in 03_synthesis/evidence-register.md. Computed tables are under 02_analysis/outputs/tables/.</w:t>
      </w:r>
    </w:p>
    <w:p>
      <w:pPr>
        <w:spacing w:after="40" w:line="250"/>
      </w:pPr>
      <w:r>
        <w:rPr>
          <w:rFonts w:ascii="Arial" w:cs="Arial" w:eastAsia="Arial" w:hAnsi="Arial"/>
          <w:color w:val="52646F"/>
          <w:sz w:val="16"/>
          <w:szCs w:val="16"/>
        </w:rPr>
        <w:t xml:space="preserve">Source: Chen, D. (2015). Online Retail [Dataset]. UCI Machine Learning Repository. https://doi.org/10.24432/C5BW33. CC BY 4.0.</w:t>
      </w:r>
    </w:p>
    <w:sectPr>
      <w:footerReference w:type="default" r:id="rId7"/>
      <w:pgSz w:w="11906" w:h="16838" w:orient="portrait"/>
      <w:pgMar w:top="650" w:right="720" w:bottom="65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757F"/>
        <w:sz w:val="15"/>
        <w:szCs w:val="15"/>
      </w:rPr>
      <w:t xml:space="preserve">Omnichannel Retail Performance Command Centre  |  </w:t>
    </w:r>
    <w:r>
      <w:rPr>
        <w:rFonts w:ascii="Arial" w:cs="Arial" w:eastAsia="Arial" w:hAnsi="Arial"/>
        <w:color w:val="66757F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3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120"/>
      <w:outlineLvl w:val="0"/>
    </w:pPr>
    <w:rPr>
      <w:rFonts w:ascii="Arial" w:cs="Arial" w:eastAsia="Arial" w:hAnsi="Arial"/>
      <w:b/>
      <w:bCs/>
      <w:color w:val="16324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00"/>
      <w:outlineLvl w:val="1"/>
    </w:pPr>
    <w:rPr>
      <w:rFonts w:ascii="Arial" w:cs="Arial" w:eastAsia="Arial" w:hAnsi="Arial"/>
      <w:b/>
      <w:bCs/>
      <w:color w:val="1632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2026-07-18T12:44:14.860Z</dcterms:created>
  <dcterms:modified xsi:type="dcterms:W3CDTF">2026-07-18T12:44:14.861Z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