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44"/>
          <w:szCs w:val="44"/>
        </w:rPr>
        <w:t xml:space="preserve">IMPLEMENTING PREDICTIVE ANALYTICS</w:t>
      </w:r>
    </w:p>
    <w:p>
      <w:pPr>
        <w:spacing w:after="200"/>
        <w:jc w:val="center"/>
      </w:pPr>
      <w:r>
        <w:rPr>
          <w:b/>
          <w:bCs/>
          <w:color w:val="1F3864"/>
          <w:sz w:val="44"/>
          <w:szCs w:val="44"/>
        </w:rPr>
        <w:t xml:space="preserve">IN VIRTUAL CONSTRUCTION</w:t>
      </w:r>
    </w:p>
    <w:p>
      <w:pPr>
        <w:spacing w:after="600"/>
        <w:jc w:val="center"/>
      </w:pPr>
      <w:r>
        <w:rPr>
          <w:i/>
          <w:iCs/>
          <w:color w:val="2E5395"/>
          <w:sz w:val="26"/>
          <w:szCs w:val="26"/>
        </w:rPr>
        <w:t xml:space="preserve">A Power BI-Based Forecasting Framework for Budget Overruns, Resource Demand, and Schedule Delays</w:t>
      </w:r>
    </w:p>
    <w:p>
      <w:pPr>
        <w:pBdr>
          <w:bottom w:val="single" w:color="AAAAAA" w:sz="6" w:space="1"/>
        </w:pBdr>
        <w:spacing w:after="200"/>
      </w:pPr>
    </w:p>
    <w:p>
      <w:pPr>
        <w:spacing w:after="80" w:before="400"/>
        <w:jc w:val="center"/>
      </w:pPr>
      <w:r>
        <w:rPr>
          <w:b/>
          <w:bCs/>
          <w:sz w:val="24"/>
          <w:szCs w:val="24"/>
        </w:rPr>
        <w:t xml:space="preserve">Week 5 Task Submission</w:t>
      </w:r>
    </w:p>
    <w:p>
      <w:pPr>
        <w:spacing w:after="80"/>
        <w:jc w:val="center"/>
      </w:pPr>
      <w:r>
        <w:rPr>
          <w:sz w:val="22"/>
          <w:szCs w:val="22"/>
        </w:rPr>
        <w:t xml:space="preserve">Course: Business Intelligence / Virtual Construction Analytics</w:t>
      </w:r>
    </w:p>
    <w:p>
      <w:pPr>
        <w:spacing w:after="80"/>
        <w:jc w:val="center"/>
      </w:pPr>
      <w:r>
        <w:rPr>
          <w:sz w:val="22"/>
          <w:szCs w:val="22"/>
        </w:rPr>
        <w:t xml:space="preserve">Tool Used: Microsoft Power BI Desktop &amp; Power BI Service</w:t>
      </w:r>
    </w:p>
    <w:p>
      <w:pPr>
        <w:spacing w:after="80"/>
        <w:jc w:val="center"/>
      </w:pPr>
      <w:r>
        <w:rPr>
          <w:sz w:val="22"/>
          <w:szCs w:val="22"/>
        </w:rPr>
        <w:t xml:space="preserve">Estimated Effort: 30–35 hours</w:t>
      </w:r>
    </w:p>
    <w:p>
      <w:pPr>
        <w:spacing w:after="400"/>
        <w:jc w:val="center"/>
      </w:pPr>
      <w:r>
        <w:rPr>
          <w:sz w:val="22"/>
          <w:szCs w:val="22"/>
        </w:rPr>
        <w:t xml:space="preserve">Date: September 2026</w:t>
      </w:r>
    </w:p>
    <w:p>
      <w:r>
        <w:br w:type="page"/>
      </w:r>
    </w:p>
    <w:p>
      <w:pPr>
        <w:pStyle w:val="Heading1"/>
        <w:spacing w:after="200" w:before="400"/>
      </w:pPr>
      <w:r>
        <w:t xml:space="preserve">Table of Contents</w:t>
      </w:r>
    </w:p>
    <w:p>
      <w:pPr>
        <w:spacing w:after="160" w:line="276"/>
      </w:pPr>
      <w:r>
        <w:rPr>
          <w:sz w:val="22"/>
          <w:szCs w:val="22"/>
        </w:rPr>
        <w:t xml:space="preserve">1. Executive Summary</w:t>
      </w:r>
    </w:p>
    <w:p>
      <w:pPr>
        <w:spacing w:after="160" w:line="276"/>
      </w:pPr>
      <w:r>
        <w:rPr>
          <w:sz w:val="22"/>
          <w:szCs w:val="22"/>
        </w:rPr>
        <w:t xml:space="preserve">2. Objective and Scope</w:t>
      </w:r>
    </w:p>
    <w:p>
      <w:pPr>
        <w:spacing w:after="160" w:line="276"/>
      </w:pPr>
      <w:r>
        <w:rPr>
          <w:sz w:val="22"/>
          <w:szCs w:val="22"/>
        </w:rPr>
        <w:t xml:space="preserve">3. Conceptualization of the Predictive Model</w:t>
      </w:r>
    </w:p>
    <w:p>
      <w:pPr>
        <w:spacing w:after="160" w:line="276"/>
      </w:pPr>
      <w:r>
        <w:rPr>
          <w:sz w:val="22"/>
          <w:szCs w:val="22"/>
        </w:rPr>
        <w:t xml:space="preserve">4. Algorithm Selection and Justification</w:t>
      </w:r>
    </w:p>
    <w:p>
      <w:pPr>
        <w:spacing w:after="160" w:line="276"/>
      </w:pPr>
      <w:r>
        <w:rPr>
          <w:sz w:val="22"/>
          <w:szCs w:val="22"/>
        </w:rPr>
        <w:t xml:space="preserve">5. Data Preparation and Feature Engineering</w:t>
      </w:r>
    </w:p>
    <w:p>
      <w:pPr>
        <w:spacing w:after="160" w:line="276"/>
      </w:pPr>
      <w:r>
        <w:rPr>
          <w:sz w:val="22"/>
          <w:szCs w:val="22"/>
        </w:rPr>
        <w:t xml:space="preserve">6. Integration Plan: Power BI Implementation Workflow</w:t>
      </w:r>
    </w:p>
    <w:p>
      <w:pPr>
        <w:spacing w:after="160" w:line="276"/>
      </w:pPr>
      <w:r>
        <w:rPr>
          <w:sz w:val="22"/>
          <w:szCs w:val="22"/>
        </w:rPr>
        <w:t xml:space="preserve">7. Dashboard Design and User Experience</w:t>
      </w:r>
    </w:p>
    <w:p>
      <w:pPr>
        <w:spacing w:after="160" w:line="276"/>
      </w:pPr>
      <w:r>
        <w:rPr>
          <w:sz w:val="22"/>
          <w:szCs w:val="22"/>
        </w:rPr>
        <w:t xml:space="preserve">8. Model Validation and Performance Monitoring</w:t>
      </w:r>
    </w:p>
    <w:p>
      <w:pPr>
        <w:spacing w:after="160" w:line="276"/>
      </w:pPr>
      <w:r>
        <w:rPr>
          <w:sz w:val="22"/>
          <w:szCs w:val="22"/>
        </w:rPr>
        <w:t xml:space="preserve">9. Business Impact Analysis</w:t>
      </w:r>
    </w:p>
    <w:p>
      <w:pPr>
        <w:spacing w:after="160" w:line="276"/>
      </w:pPr>
      <w:r>
        <w:rPr>
          <w:sz w:val="22"/>
          <w:szCs w:val="22"/>
        </w:rPr>
        <w:t xml:space="preserve">10. Risk Mitigation Strategies</w:t>
      </w:r>
    </w:p>
    <w:p>
      <w:pPr>
        <w:spacing w:after="160" w:line="276"/>
      </w:pPr>
      <w:r>
        <w:rPr>
          <w:sz w:val="22"/>
          <w:szCs w:val="22"/>
        </w:rPr>
        <w:t xml:space="preserve">11. Limitations and Future Enhancements</w:t>
      </w:r>
    </w:p>
    <w:p>
      <w:pPr>
        <w:spacing w:after="160" w:line="276"/>
      </w:pPr>
      <w:r>
        <w:rPr>
          <w:sz w:val="22"/>
          <w:szCs w:val="22"/>
        </w:rPr>
        <w:t xml:space="preserve">12. Conclusion</w:t>
      </w:r>
    </w:p>
    <w:p>
      <w:pPr>
        <w:spacing w:after="160" w:line="276"/>
      </w:pPr>
      <w:r>
        <w:rPr>
          <w:sz w:val="22"/>
          <w:szCs w:val="22"/>
        </w:rPr>
        <w:t xml:space="preserve">13. References</w:t>
      </w:r>
    </w:p>
    <w:p>
      <w:r>
        <w:br w:type="page"/>
      </w:r>
    </w:p>
    <w:p>
      <w:pPr>
        <w:pStyle w:val="Heading1"/>
        <w:spacing w:after="200" w:before="400"/>
      </w:pPr>
      <w:r>
        <w:t xml:space="preserve">1. Executive Summary</w:t>
      </w:r>
    </w:p>
    <w:p>
      <w:pPr>
        <w:spacing w:after="160" w:line="276"/>
      </w:pPr>
      <w:r>
        <w:rPr>
          <w:sz w:val="22"/>
          <w:szCs w:val="22"/>
        </w:rPr>
        <w:t xml:space="preserve">Construction projects are notoriously difficult to deliver on time and within budget. Industry benchmarking studies consistently report that a large majority of large capital projects experience cost overruns, schedule slippage, or both, driven by design changes, weather disruption, labour and material shortages, and inaccurate early-stage estimates. This report presents a complete methodology for building a predictive analytics capability inside a virtual construction (BIM-integrated) environment, using Microsoft Power BI as the delivery platform for forecasts, alerts, and decision-support dashboards.</w:t>
      </w:r>
    </w:p>
    <w:p>
      <w:pPr>
        <w:spacing w:after="160" w:line="276"/>
      </w:pPr>
      <w:r>
        <w:rPr>
          <w:sz w:val="22"/>
          <w:szCs w:val="22"/>
        </w:rPr>
        <w:t xml:space="preserve">The proposed solution combines statistical and machine-learning forecasting techniques — linear and multiple regression, time-series models (ARIMA/exponential smoothing), and classification/ensemble methods (logistic regression, decision trees, random forest) — with Power BI's native and extended analytics capabilities (Key Influencers visual, Decomposition Tree, Python/R visuals, and Power BI's AI insights) to forecast three critical outcomes: budget overruns, resource demand, and project delays.</w:t>
      </w:r>
    </w:p>
    <w:p>
      <w:pPr>
        <w:spacing w:after="160" w:line="276"/>
      </w:pPr>
      <w:r>
        <w:rPr>
          <w:sz w:val="22"/>
          <w:szCs w:val="22"/>
        </w:rPr>
        <w:t xml:space="preserve">The report is organized to mirror the full analytics lifecycle: problem framing and variable selection, algorithm selection, data preparation, Power BI integration and dashboard design, validation, and — critically — the business impact and risk mitigation strategies that make the model actionable for project managers, cost controllers, and site supervisors.</w:t>
      </w:r>
    </w:p>
    <w:p>
      <w:pPr>
        <w:pStyle w:val="Heading1"/>
        <w:spacing w:after="200" w:before="400"/>
      </w:pPr>
      <w:r>
        <w:t xml:space="preserve">2. Objective and Scope</w:t>
      </w:r>
    </w:p>
    <w:p>
      <w:pPr>
        <w:spacing w:after="160" w:line="276"/>
      </w:pPr>
      <w:r>
        <w:rPr>
          <w:sz w:val="22"/>
          <w:szCs w:val="22"/>
        </w:rPr>
        <w:t xml:space="preserve">The objective of this task is to design and document a predictive model that ingests historical construction project data (schedule, cost, resource, and site condition records) and produces forward-looking insights that are surfaced through interactive Power BI dashboards. The scope covers three prediction targets that are most relevant to construction project controls:</w:t>
      </w:r>
    </w:p>
    <w:p>
      <w:pPr>
        <w:pStyle w:val="ListParagraph"/>
        <w:numPr>
          <w:ilvl w:val="0"/>
          <w:numId w:val="2"/>
        </w:numPr>
        <w:spacing w:after="90"/>
      </w:pPr>
      <w:r>
        <w:rPr>
          <w:sz w:val="22"/>
          <w:szCs w:val="22"/>
        </w:rPr>
        <w:t xml:space="preserve">Budget Overrun Prediction — estimating the probability and expected magnitude of cost overrun for an active project or work package.</w:t>
      </w:r>
    </w:p>
    <w:p>
      <w:pPr>
        <w:pStyle w:val="ListParagraph"/>
        <w:numPr>
          <w:ilvl w:val="0"/>
          <w:numId w:val="2"/>
        </w:numPr>
        <w:spacing w:after="90"/>
      </w:pPr>
      <w:r>
        <w:rPr>
          <w:sz w:val="22"/>
          <w:szCs w:val="22"/>
        </w:rPr>
        <w:t xml:space="preserve">Resource Demand Forecasting — projecting labour-hours, equipment-hours, and material quantities required over the coming weeks/months.</w:t>
      </w:r>
    </w:p>
    <w:p>
      <w:pPr>
        <w:pStyle w:val="ListParagraph"/>
        <w:numPr>
          <w:ilvl w:val="0"/>
          <w:numId w:val="2"/>
        </w:numPr>
        <w:spacing w:after="90"/>
      </w:pPr>
      <w:r>
        <w:rPr>
          <w:sz w:val="22"/>
          <w:szCs w:val="22"/>
        </w:rPr>
        <w:t xml:space="preserve">Schedule Delay Prediction — estimating the likelihood and expected duration of delay for ongoing tasks and overall project completion.</w:t>
      </w:r>
    </w:p>
    <w:p>
      <w:pPr>
        <w:spacing w:after="160" w:line="276"/>
      </w:pPr>
      <w:r>
        <w:rPr>
          <w:sz w:val="22"/>
          <w:szCs w:val="22"/>
        </w:rPr>
        <w:t xml:space="preserve">This deliverable focuses on the methodology, model design, and Power BI integration approach; it is written so that it can be executed against any organization's historical project database (e.g., data exported from Procore, Primavera P6, Autodesk BIM 360/ACC, or an ERP system) without being tied to a single proprietary dataset.</w:t>
      </w:r>
    </w:p>
    <w:p>
      <w:pPr>
        <w:pStyle w:val="Heading1"/>
        <w:spacing w:after="200" w:before="400"/>
      </w:pPr>
      <w:r>
        <w:t xml:space="preserve">3. Conceptualization of the Predictive Model</w:t>
      </w:r>
    </w:p>
    <w:p>
      <w:pPr>
        <w:pStyle w:val="Heading2"/>
        <w:spacing w:after="150" w:before="300"/>
      </w:pPr>
      <w:r>
        <w:t xml:space="preserve">3.1 Business Questions and Hypotheses</w:t>
      </w:r>
    </w:p>
    <w:p>
      <w:pPr>
        <w:spacing w:after="160" w:line="276"/>
      </w:pPr>
      <w:r>
        <w:rPr>
          <w:sz w:val="22"/>
          <w:szCs w:val="22"/>
        </w:rPr>
        <w:t xml:space="preserve">Before selecting variables or algorithms, the model is framed around specific, testable hypotheses drawn from construction management practice:</w:t>
      </w:r>
    </w:p>
    <w:p>
      <w:pPr>
        <w:pStyle w:val="ListParagraph"/>
        <w:numPr>
          <w:ilvl w:val="0"/>
          <w:numId w:val="3"/>
        </w:numPr>
        <w:spacing w:after="90"/>
      </w:pPr>
      <w:r>
        <w:rPr>
          <w:sz w:val="22"/>
          <w:szCs w:val="22"/>
        </w:rPr>
        <w:t xml:space="preserve">H1 — Projects with a higher change-order (variation order) rate in the first 20% of the schedule are significantly more likely to finish over budget.</w:t>
      </w:r>
    </w:p>
    <w:p>
      <w:pPr>
        <w:pStyle w:val="ListParagraph"/>
        <w:numPr>
          <w:ilvl w:val="0"/>
          <w:numId w:val="3"/>
        </w:numPr>
        <w:spacing w:after="90"/>
      </w:pPr>
      <w:r>
        <w:rPr>
          <w:sz w:val="22"/>
          <w:szCs w:val="22"/>
        </w:rPr>
        <w:t xml:space="preserve">H2 — Cumulative weather-delay days and subcontractor mobilization lag are leading indicators of schedule delay.</w:t>
      </w:r>
    </w:p>
    <w:p>
      <w:pPr>
        <w:pStyle w:val="ListParagraph"/>
        <w:numPr>
          <w:ilvl w:val="0"/>
          <w:numId w:val="3"/>
        </w:numPr>
        <w:spacing w:after="90"/>
      </w:pPr>
      <w:r>
        <w:rPr>
          <w:sz w:val="22"/>
          <w:szCs w:val="22"/>
        </w:rPr>
        <w:t xml:space="preserve">H3 — Deviation between planned vs. actual productivity rates (earned value metrics) in early work packages predicts resource shortfalls later in the project.</w:t>
      </w:r>
    </w:p>
    <w:p>
      <w:pPr>
        <w:pStyle w:val="ListParagraph"/>
        <w:numPr>
          <w:ilvl w:val="0"/>
          <w:numId w:val="3"/>
        </w:numPr>
        <w:spacing w:after="90"/>
      </w:pPr>
      <w:r>
        <w:rPr>
          <w:sz w:val="22"/>
          <w:szCs w:val="22"/>
        </w:rPr>
        <w:t xml:space="preserve">H4 — Procurement lead-time variance for long-lead materials correlates with downstream schedule delay risk.</w:t>
      </w:r>
    </w:p>
    <w:p>
      <w:pPr>
        <w:pStyle w:val="Heading2"/>
        <w:spacing w:after="150" w:before="300"/>
      </w:pPr>
      <w:r>
        <w:t xml:space="preserve">3.2 Key Variables</w:t>
      </w:r>
    </w:p>
    <w:p>
      <w:pPr>
        <w:spacing w:after="160" w:line="276"/>
      </w:pPr>
      <w:r>
        <w:rPr>
          <w:sz w:val="22"/>
          <w:szCs w:val="22"/>
        </w:rPr>
        <w:t xml:space="preserve">Variables are grouped into four categories that map directly to data typically available from scheduling, cost, and BIM/virtual-construction systems: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5200"/>
        <w:gridCol w:w="24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Category</w:t>
            </w:r>
          </w:p>
        </w:tc>
        <w:tc>
          <w:tcPr>
            <w:tcW w:type="dxa" w:w="5200"/>
            <w:shd w:fill="1F3864" w:val="clear"/>
            <w:tcMar>
              <w:top w:type="dxa" w:w="80"/>
              <w:left w:type="dxa" w:w="100"/>
              <w:bottom w:type="dxa" w:w="80"/>
              <w:right w:type="dxa" w:w="100"/>
            </w:tcMar>
            <w:vAlign w:val="center"/>
          </w:tcPr>
          <w:p>
            <w:r>
              <w:rPr>
                <w:b/>
                <w:bCs/>
                <w:color w:val="FFFFFF"/>
                <w:sz w:val="20"/>
                <w:szCs w:val="20"/>
              </w:rPr>
              <w:t xml:space="preserve">Example Variables</w:t>
            </w:r>
          </w:p>
        </w:tc>
        <w:tc>
          <w:tcPr>
            <w:tcW w:type="dxa" w:w="2400"/>
            <w:shd w:fill="1F3864" w:val="clear"/>
            <w:tcMar>
              <w:top w:type="dxa" w:w="80"/>
              <w:left w:type="dxa" w:w="100"/>
              <w:bottom w:type="dxa" w:w="80"/>
              <w:right w:type="dxa" w:w="100"/>
            </w:tcMar>
            <w:vAlign w:val="center"/>
          </w:tcPr>
          <w:p>
            <w:r>
              <w:rPr>
                <w:b/>
                <w:bCs/>
                <w:color w:val="FFFFFF"/>
                <w:sz w:val="20"/>
                <w:szCs w:val="20"/>
              </w:rPr>
              <w:t xml:space="preserve">Typical Source</w:t>
            </w:r>
          </w:p>
        </w:tc>
      </w:tr>
      <w:tr>
        <w:tc>
          <w:tcPr>
            <w:tcW w:type="dxa" w:w="2600"/>
            <w:tcMar>
              <w:top w:type="dxa" w:w="80"/>
              <w:left w:type="dxa" w:w="100"/>
              <w:bottom w:type="dxa" w:w="80"/>
              <w:right w:type="dxa" w:w="100"/>
            </w:tcMar>
            <w:vAlign w:val="center"/>
          </w:tcPr>
          <w:p>
            <w:r>
              <w:rPr>
                <w:b w:val="false"/>
                <w:bCs w:val="false"/>
                <w:sz w:val="20"/>
                <w:szCs w:val="20"/>
              </w:rPr>
              <w:t xml:space="preserve">Schedule</w:t>
            </w:r>
          </w:p>
        </w:tc>
        <w:tc>
          <w:tcPr>
            <w:tcW w:type="dxa" w:w="5200"/>
            <w:tcMar>
              <w:top w:type="dxa" w:w="80"/>
              <w:left w:type="dxa" w:w="100"/>
              <w:bottom w:type="dxa" w:w="80"/>
              <w:right w:type="dxa" w:w="100"/>
            </w:tcMar>
            <w:vAlign w:val="center"/>
          </w:tcPr>
          <w:p>
            <w:r>
              <w:rPr>
                <w:b w:val="false"/>
                <w:bCs w:val="false"/>
                <w:sz w:val="20"/>
                <w:szCs w:val="20"/>
              </w:rPr>
              <w:t xml:space="preserve">Planned vs. actual start/finish dates, float consumption, % complete, critical-path task count, weather delay days</w:t>
            </w:r>
          </w:p>
        </w:tc>
        <w:tc>
          <w:tcPr>
            <w:tcW w:type="dxa" w:w="2400"/>
            <w:tcMar>
              <w:top w:type="dxa" w:w="80"/>
              <w:left w:type="dxa" w:w="100"/>
              <w:bottom w:type="dxa" w:w="80"/>
              <w:right w:type="dxa" w:w="100"/>
            </w:tcMar>
            <w:vAlign w:val="center"/>
          </w:tcPr>
          <w:p>
            <w:r>
              <w:rPr>
                <w:b w:val="false"/>
                <w:bCs w:val="false"/>
                <w:sz w:val="20"/>
                <w:szCs w:val="20"/>
              </w:rPr>
              <w:t xml:space="preserve">Primavera P6 / MS Project</w:t>
            </w:r>
          </w:p>
        </w:tc>
      </w:tr>
      <w:tr>
        <w:tc>
          <w:tcPr>
            <w:tcW w:type="dxa" w:w="2600"/>
            <w:tcMar>
              <w:top w:type="dxa" w:w="80"/>
              <w:left w:type="dxa" w:w="100"/>
              <w:bottom w:type="dxa" w:w="80"/>
              <w:right w:type="dxa" w:w="100"/>
            </w:tcMar>
            <w:vAlign w:val="center"/>
          </w:tcPr>
          <w:p>
            <w:r>
              <w:rPr>
                <w:b w:val="false"/>
                <w:bCs w:val="false"/>
                <w:sz w:val="20"/>
                <w:szCs w:val="20"/>
              </w:rPr>
              <w:t xml:space="preserve">Cost</w:t>
            </w:r>
          </w:p>
        </w:tc>
        <w:tc>
          <w:tcPr>
            <w:tcW w:type="dxa" w:w="5200"/>
            <w:tcMar>
              <w:top w:type="dxa" w:w="80"/>
              <w:left w:type="dxa" w:w="100"/>
              <w:bottom w:type="dxa" w:w="80"/>
              <w:right w:type="dxa" w:w="100"/>
            </w:tcMar>
            <w:vAlign w:val="center"/>
          </w:tcPr>
          <w:p>
            <w:r>
              <w:rPr>
                <w:b w:val="false"/>
                <w:bCs w:val="false"/>
                <w:sz w:val="20"/>
                <w:szCs w:val="20"/>
              </w:rPr>
              <w:t xml:space="preserve">Budgeted cost, actual cost to date, committed cost, change-order value &amp; count, cost performance index (CPI)</w:t>
            </w:r>
          </w:p>
        </w:tc>
        <w:tc>
          <w:tcPr>
            <w:tcW w:type="dxa" w:w="2400"/>
            <w:tcMar>
              <w:top w:type="dxa" w:w="80"/>
              <w:left w:type="dxa" w:w="100"/>
              <w:bottom w:type="dxa" w:w="80"/>
              <w:right w:type="dxa" w:w="100"/>
            </w:tcMar>
            <w:vAlign w:val="center"/>
          </w:tcPr>
          <w:p>
            <w:r>
              <w:rPr>
                <w:b w:val="false"/>
                <w:bCs w:val="false"/>
                <w:sz w:val="20"/>
                <w:szCs w:val="20"/>
              </w:rPr>
              <w:t xml:space="preserve">ERP / Cost management system</w:t>
            </w:r>
          </w:p>
        </w:tc>
      </w:tr>
      <w:tr>
        <w:tc>
          <w:tcPr>
            <w:tcW w:type="dxa" w:w="2600"/>
            <w:tcMar>
              <w:top w:type="dxa" w:w="80"/>
              <w:left w:type="dxa" w:w="100"/>
              <w:bottom w:type="dxa" w:w="80"/>
              <w:right w:type="dxa" w:w="100"/>
            </w:tcMar>
            <w:vAlign w:val="center"/>
          </w:tcPr>
          <w:p>
            <w:r>
              <w:rPr>
                <w:b w:val="false"/>
                <w:bCs w:val="false"/>
                <w:sz w:val="20"/>
                <w:szCs w:val="20"/>
              </w:rPr>
              <w:t xml:space="preserve">Resource</w:t>
            </w:r>
          </w:p>
        </w:tc>
        <w:tc>
          <w:tcPr>
            <w:tcW w:type="dxa" w:w="5200"/>
            <w:tcMar>
              <w:top w:type="dxa" w:w="80"/>
              <w:left w:type="dxa" w:w="100"/>
              <w:bottom w:type="dxa" w:w="80"/>
              <w:right w:type="dxa" w:w="100"/>
            </w:tcMar>
            <w:vAlign w:val="center"/>
          </w:tcPr>
          <w:p>
            <w:r>
              <w:rPr>
                <w:b w:val="false"/>
                <w:bCs w:val="false"/>
                <w:sz w:val="20"/>
                <w:szCs w:val="20"/>
              </w:rPr>
              <w:t xml:space="preserve">Labour hours planned vs. actual, crew size, equipment utilization %, subcontractor count, overtime hours</w:t>
            </w:r>
          </w:p>
        </w:tc>
        <w:tc>
          <w:tcPr>
            <w:tcW w:type="dxa" w:w="2400"/>
            <w:tcMar>
              <w:top w:type="dxa" w:w="80"/>
              <w:left w:type="dxa" w:w="100"/>
              <w:bottom w:type="dxa" w:w="80"/>
              <w:right w:type="dxa" w:w="100"/>
            </w:tcMar>
            <w:vAlign w:val="center"/>
          </w:tcPr>
          <w:p>
            <w:r>
              <w:rPr>
                <w:b w:val="false"/>
                <w:bCs w:val="false"/>
                <w:sz w:val="20"/>
                <w:szCs w:val="20"/>
              </w:rPr>
              <w:t xml:space="preserve">Timesheets / Resource system</w:t>
            </w:r>
          </w:p>
        </w:tc>
      </w:tr>
      <w:tr>
        <w:tc>
          <w:tcPr>
            <w:tcW w:type="dxa" w:w="2600"/>
            <w:tcMar>
              <w:top w:type="dxa" w:w="80"/>
              <w:left w:type="dxa" w:w="100"/>
              <w:bottom w:type="dxa" w:w="80"/>
              <w:right w:type="dxa" w:w="100"/>
            </w:tcMar>
            <w:vAlign w:val="center"/>
          </w:tcPr>
          <w:p>
            <w:r>
              <w:rPr>
                <w:b w:val="false"/>
                <w:bCs w:val="false"/>
                <w:sz w:val="20"/>
                <w:szCs w:val="20"/>
              </w:rPr>
              <w:t xml:space="preserve">Project &amp; Site Context</w:t>
            </w:r>
          </w:p>
        </w:tc>
        <w:tc>
          <w:tcPr>
            <w:tcW w:type="dxa" w:w="5200"/>
            <w:tcMar>
              <w:top w:type="dxa" w:w="80"/>
              <w:left w:type="dxa" w:w="100"/>
              <w:bottom w:type="dxa" w:w="80"/>
              <w:right w:type="dxa" w:w="100"/>
            </w:tcMar>
            <w:vAlign w:val="center"/>
          </w:tcPr>
          <w:p>
            <w:r>
              <w:rPr>
                <w:b w:val="false"/>
                <w:bCs w:val="false"/>
                <w:sz w:val="20"/>
                <w:szCs w:val="20"/>
              </w:rPr>
              <w:t xml:space="preserve">Project type &amp; size, geographic region/climate zone, site access complexity, BIM clash-count, design maturity (LOD), procurement lead time</w:t>
            </w:r>
          </w:p>
        </w:tc>
        <w:tc>
          <w:tcPr>
            <w:tcW w:type="dxa" w:w="2400"/>
            <w:tcMar>
              <w:top w:type="dxa" w:w="80"/>
              <w:left w:type="dxa" w:w="100"/>
              <w:bottom w:type="dxa" w:w="80"/>
              <w:right w:type="dxa" w:w="100"/>
            </w:tcMar>
            <w:vAlign w:val="center"/>
          </w:tcPr>
          <w:p>
            <w:r>
              <w:rPr>
                <w:b w:val="false"/>
                <w:bCs w:val="false"/>
                <w:sz w:val="20"/>
                <w:szCs w:val="20"/>
              </w:rPr>
              <w:t xml:space="preserve">BIM 360/ACC, Procurement log</w:t>
            </w:r>
          </w:p>
        </w:tc>
      </w:tr>
    </w:tbl>
    <w:p>
      <w:pPr>
        <w:spacing w:after="160" w:line="276"/>
      </w:pPr>
      <w:r>
        <w:rPr>
          <w:sz w:val="22"/>
          <w:szCs w:val="22"/>
        </w:rPr>
        <w:t xml:space="preserve"/>
      </w:r>
    </w:p>
    <w:p>
      <w:pPr>
        <w:pStyle w:val="Heading2"/>
        <w:spacing w:after="150" w:before="300"/>
      </w:pPr>
      <w:r>
        <w:t xml:space="preserve">3.3 Target (Label) Definition</w:t>
      </w:r>
    </w:p>
    <w:p>
      <w:pPr>
        <w:spacing w:after="160" w:line="276"/>
      </w:pPr>
      <w:r>
        <w:rPr>
          <w:sz w:val="22"/>
          <w:szCs w:val="22"/>
        </w:rPr>
        <w:t xml:space="preserve">Each prediction target is defined precisely so the model produces an unambiguous, decision-ready output:</w:t>
      </w:r>
    </w:p>
    <w:p>
      <w:pPr>
        <w:pStyle w:val="ListParagraph"/>
        <w:numPr>
          <w:ilvl w:val="0"/>
          <w:numId w:val="2"/>
        </w:numPr>
        <w:spacing w:after="90"/>
      </w:pPr>
      <w:r>
        <w:rPr>
          <w:sz w:val="22"/>
          <w:szCs w:val="22"/>
        </w:rPr>
        <w:t xml:space="preserve">Budget Overrun (regression target): Final Cost ÷ Original Approved Budget − 1, expressed as a percentage; also modeled as a binary flag (&gt;5% overrun = 1) for classification-based early warning.</w:t>
      </w:r>
    </w:p>
    <w:p>
      <w:pPr>
        <w:pStyle w:val="ListParagraph"/>
        <w:numPr>
          <w:ilvl w:val="0"/>
          <w:numId w:val="2"/>
        </w:numPr>
        <w:spacing w:after="90"/>
      </w:pPr>
      <w:r>
        <w:rPr>
          <w:sz w:val="22"/>
          <w:szCs w:val="22"/>
        </w:rPr>
        <w:t xml:space="preserve">Resource Demand (regression target): labour-hours and material quantities required per rolling 2-week window, forecast 4–8 weeks ahead.</w:t>
      </w:r>
    </w:p>
    <w:p>
      <w:pPr>
        <w:pStyle w:val="ListParagraph"/>
        <w:numPr>
          <w:ilvl w:val="0"/>
          <w:numId w:val="2"/>
        </w:numPr>
        <w:spacing w:after="90"/>
      </w:pPr>
      <w:r>
        <w:rPr>
          <w:sz w:val="22"/>
          <w:szCs w:val="22"/>
        </w:rPr>
        <w:t xml:space="preserve">Schedule Delay (classification + regression): binary flag for "will miss milestone" plus a regression estimate of expected delay in days.</w:t>
      </w:r>
    </w:p>
    <w:p>
      <w:pPr>
        <w:pStyle w:val="Heading1"/>
        <w:spacing w:after="200" w:before="400"/>
      </w:pPr>
      <w:r>
        <w:t xml:space="preserve">4. Algorithm Selection and Justification</w:t>
      </w:r>
    </w:p>
    <w:p>
      <w:pPr>
        <w:spacing w:after="160" w:line="276"/>
      </w:pPr>
      <w:r>
        <w:rPr>
          <w:sz w:val="22"/>
          <w:szCs w:val="22"/>
        </w:rPr>
        <w:t xml:space="preserve">No single algorithm suits all three prediction targets. The table below matches each business question to a recommended technique, with the rationale and how it is operationalised in a Power BI-centred workflow.</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4200"/>
      </w:tblGrid>
      <w:tr>
        <w:trPr>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Prediction Target</w:t>
            </w:r>
          </w:p>
        </w:tc>
        <w:tc>
          <w:tcPr>
            <w:tcW w:type="dxa" w:w="3400"/>
            <w:shd w:fill="1F3864" w:val="clear"/>
            <w:tcMar>
              <w:top w:type="dxa" w:w="80"/>
              <w:left w:type="dxa" w:w="100"/>
              <w:bottom w:type="dxa" w:w="80"/>
              <w:right w:type="dxa" w:w="100"/>
            </w:tcMar>
            <w:vAlign w:val="center"/>
          </w:tcPr>
          <w:p>
            <w:r>
              <w:rPr>
                <w:b/>
                <w:bCs/>
                <w:color w:val="FFFFFF"/>
                <w:sz w:val="20"/>
                <w:szCs w:val="20"/>
              </w:rPr>
              <w:t xml:space="preserve">Recommended Algorithm(s)</w:t>
            </w:r>
          </w:p>
        </w:tc>
        <w:tc>
          <w:tcPr>
            <w:tcW w:type="dxa" w:w="4200"/>
            <w:shd w:fill="1F3864" w:val="clear"/>
            <w:tcMar>
              <w:top w:type="dxa" w:w="80"/>
              <w:left w:type="dxa" w:w="100"/>
              <w:bottom w:type="dxa" w:w="80"/>
              <w:right w:type="dxa" w:w="100"/>
            </w:tcMar>
            <w:vAlign w:val="center"/>
          </w:tcPr>
          <w:p>
            <w:r>
              <w:rPr>
                <w:b/>
                <w:bCs/>
                <w:color w:val="FFFFFF"/>
                <w:sz w:val="20"/>
                <w:szCs w:val="20"/>
              </w:rPr>
              <w:t xml:space="preserve">Rationale</w:t>
            </w:r>
          </w:p>
        </w:tc>
      </w:tr>
      <w:tr>
        <w:tc>
          <w:tcPr>
            <w:tcW w:type="dxa" w:w="2600"/>
            <w:tcMar>
              <w:top w:type="dxa" w:w="80"/>
              <w:left w:type="dxa" w:w="100"/>
              <w:bottom w:type="dxa" w:w="80"/>
              <w:right w:type="dxa" w:w="100"/>
            </w:tcMar>
            <w:vAlign w:val="center"/>
          </w:tcPr>
          <w:p>
            <w:r>
              <w:rPr>
                <w:b w:val="false"/>
                <w:bCs w:val="false"/>
                <w:sz w:val="20"/>
                <w:szCs w:val="20"/>
              </w:rPr>
              <w:t xml:space="preserve">Budget overrun (%)</w:t>
            </w:r>
          </w:p>
        </w:tc>
        <w:tc>
          <w:tcPr>
            <w:tcW w:type="dxa" w:w="3400"/>
            <w:tcMar>
              <w:top w:type="dxa" w:w="80"/>
              <w:left w:type="dxa" w:w="100"/>
              <w:bottom w:type="dxa" w:w="80"/>
              <w:right w:type="dxa" w:w="100"/>
            </w:tcMar>
            <w:vAlign w:val="center"/>
          </w:tcPr>
          <w:p>
            <w:r>
              <w:rPr>
                <w:b w:val="false"/>
                <w:bCs w:val="false"/>
                <w:sz w:val="20"/>
                <w:szCs w:val="20"/>
              </w:rPr>
              <w:t xml:space="preserve">Multiple linear regression; Gradient Boosted Trees (XGBoost) for non-linear interactions</w:t>
            </w:r>
          </w:p>
        </w:tc>
        <w:tc>
          <w:tcPr>
            <w:tcW w:type="dxa" w:w="4200"/>
            <w:tcMar>
              <w:top w:type="dxa" w:w="80"/>
              <w:left w:type="dxa" w:w="100"/>
              <w:bottom w:type="dxa" w:w="80"/>
              <w:right w:type="dxa" w:w="100"/>
            </w:tcMar>
            <w:vAlign w:val="center"/>
          </w:tcPr>
          <w:p>
            <w:r>
              <w:rPr>
                <w:b w:val="false"/>
                <w:bCs w:val="false"/>
                <w:sz w:val="20"/>
                <w:szCs w:val="20"/>
              </w:rPr>
              <w:t xml:space="preserve">Overrun is a continuous outcome driven by several correlated cost/schedule variables; boosted trees capture interaction effects (e.g., change orders × region) that linear models miss.</w:t>
            </w:r>
          </w:p>
        </w:tc>
      </w:tr>
      <w:tr>
        <w:tc>
          <w:tcPr>
            <w:tcW w:type="dxa" w:w="2600"/>
            <w:tcMar>
              <w:top w:type="dxa" w:w="80"/>
              <w:left w:type="dxa" w:w="100"/>
              <w:bottom w:type="dxa" w:w="80"/>
              <w:right w:type="dxa" w:w="100"/>
            </w:tcMar>
            <w:vAlign w:val="center"/>
          </w:tcPr>
          <w:p>
            <w:r>
              <w:rPr>
                <w:b w:val="false"/>
                <w:bCs w:val="false"/>
                <w:sz w:val="20"/>
                <w:szCs w:val="20"/>
              </w:rPr>
              <w:t xml:space="preserve">Overrun flag (yes/no)</w:t>
            </w:r>
          </w:p>
        </w:tc>
        <w:tc>
          <w:tcPr>
            <w:tcW w:type="dxa" w:w="3400"/>
            <w:tcMar>
              <w:top w:type="dxa" w:w="80"/>
              <w:left w:type="dxa" w:w="100"/>
              <w:bottom w:type="dxa" w:w="80"/>
              <w:right w:type="dxa" w:w="100"/>
            </w:tcMar>
            <w:vAlign w:val="center"/>
          </w:tcPr>
          <w:p>
            <w:r>
              <w:rPr>
                <w:b w:val="false"/>
                <w:bCs w:val="false"/>
                <w:sz w:val="20"/>
                <w:szCs w:val="20"/>
              </w:rPr>
              <w:t xml:space="preserve">Logistic regression; Random Forest classifier</w:t>
            </w:r>
          </w:p>
        </w:tc>
        <w:tc>
          <w:tcPr>
            <w:tcW w:type="dxa" w:w="4200"/>
            <w:tcMar>
              <w:top w:type="dxa" w:w="80"/>
              <w:left w:type="dxa" w:w="100"/>
              <w:bottom w:type="dxa" w:w="80"/>
              <w:right w:type="dxa" w:w="100"/>
            </w:tcMar>
            <w:vAlign w:val="center"/>
          </w:tcPr>
          <w:p>
            <w:r>
              <w:rPr>
                <w:b w:val="false"/>
                <w:bCs w:val="false"/>
                <w:sz w:val="20"/>
                <w:szCs w:val="20"/>
              </w:rPr>
              <w:t xml:space="preserve">Provides an interpretable probability score with odds ratios per variable, useful for a Power BI Key Influencers visual and for audit/compliance narratives.</w:t>
            </w:r>
          </w:p>
        </w:tc>
      </w:tr>
      <w:tr>
        <w:tc>
          <w:tcPr>
            <w:tcW w:type="dxa" w:w="2600"/>
            <w:tcMar>
              <w:top w:type="dxa" w:w="80"/>
              <w:left w:type="dxa" w:w="100"/>
              <w:bottom w:type="dxa" w:w="80"/>
              <w:right w:type="dxa" w:w="100"/>
            </w:tcMar>
            <w:vAlign w:val="center"/>
          </w:tcPr>
          <w:p>
            <w:r>
              <w:rPr>
                <w:b w:val="false"/>
                <w:bCs w:val="false"/>
                <w:sz w:val="20"/>
                <w:szCs w:val="20"/>
              </w:rPr>
              <w:t xml:space="preserve">Resource demand</w:t>
            </w:r>
          </w:p>
        </w:tc>
        <w:tc>
          <w:tcPr>
            <w:tcW w:type="dxa" w:w="3400"/>
            <w:tcMar>
              <w:top w:type="dxa" w:w="80"/>
              <w:left w:type="dxa" w:w="100"/>
              <w:bottom w:type="dxa" w:w="80"/>
              <w:right w:type="dxa" w:w="100"/>
            </w:tcMar>
            <w:vAlign w:val="center"/>
          </w:tcPr>
          <w:p>
            <w:r>
              <w:rPr>
                <w:b w:val="false"/>
                <w:bCs w:val="false"/>
                <w:sz w:val="20"/>
                <w:szCs w:val="20"/>
              </w:rPr>
              <w:t xml:space="preserve">Time-series: Holt-Winters exponential smoothing, SARIMA; Power BI built-in forecasting</w:t>
            </w:r>
          </w:p>
        </w:tc>
        <w:tc>
          <w:tcPr>
            <w:tcW w:type="dxa" w:w="4200"/>
            <w:tcMar>
              <w:top w:type="dxa" w:w="80"/>
              <w:left w:type="dxa" w:w="100"/>
              <w:bottom w:type="dxa" w:w="80"/>
              <w:right w:type="dxa" w:w="100"/>
            </w:tcMar>
            <w:vAlign w:val="center"/>
          </w:tcPr>
          <w:p>
            <w:r>
              <w:rPr>
                <w:b w:val="false"/>
                <w:bCs w:val="false"/>
                <w:sz w:val="20"/>
                <w:szCs w:val="20"/>
              </w:rPr>
              <w:t xml:space="preserve">Resource consumption is seasonal/cyclical (weekly crew cycles, procurement cycles); exponential smoothing and SARIMA handle trend + seasonality with modest data volume.</w:t>
            </w:r>
          </w:p>
        </w:tc>
      </w:tr>
      <w:tr>
        <w:tc>
          <w:tcPr>
            <w:tcW w:type="dxa" w:w="2600"/>
            <w:tcMar>
              <w:top w:type="dxa" w:w="80"/>
              <w:left w:type="dxa" w:w="100"/>
              <w:bottom w:type="dxa" w:w="80"/>
              <w:right w:type="dxa" w:w="100"/>
            </w:tcMar>
            <w:vAlign w:val="center"/>
          </w:tcPr>
          <w:p>
            <w:r>
              <w:rPr>
                <w:b w:val="false"/>
                <w:bCs w:val="false"/>
                <w:sz w:val="20"/>
                <w:szCs w:val="20"/>
              </w:rPr>
              <w:t xml:space="preserve">Schedule delay (flag)</w:t>
            </w:r>
          </w:p>
        </w:tc>
        <w:tc>
          <w:tcPr>
            <w:tcW w:type="dxa" w:w="3400"/>
            <w:tcMar>
              <w:top w:type="dxa" w:w="80"/>
              <w:left w:type="dxa" w:w="100"/>
              <w:bottom w:type="dxa" w:w="80"/>
              <w:right w:type="dxa" w:w="100"/>
            </w:tcMar>
            <w:vAlign w:val="center"/>
          </w:tcPr>
          <w:p>
            <w:r>
              <w:rPr>
                <w:b w:val="false"/>
                <w:bCs w:val="false"/>
                <w:sz w:val="20"/>
                <w:szCs w:val="20"/>
              </w:rPr>
              <w:t xml:space="preserve">Decision tree / Random Forest classifier</w:t>
            </w:r>
          </w:p>
        </w:tc>
        <w:tc>
          <w:tcPr>
            <w:tcW w:type="dxa" w:w="4200"/>
            <w:tcMar>
              <w:top w:type="dxa" w:w="80"/>
              <w:left w:type="dxa" w:w="100"/>
              <w:bottom w:type="dxa" w:w="80"/>
              <w:right w:type="dxa" w:w="100"/>
            </w:tcMar>
            <w:vAlign w:val="center"/>
          </w:tcPr>
          <w:p>
            <w:r>
              <w:rPr>
                <w:b w:val="false"/>
                <w:bCs w:val="false"/>
                <w:sz w:val="20"/>
                <w:szCs w:val="20"/>
              </w:rPr>
              <w:t xml:space="preserve">Delay drivers are often threshold-based (e.g., &gt;5 weather days, &gt;10% float consumed) which tree-based models represent naturally and explain visually.</w:t>
            </w:r>
          </w:p>
        </w:tc>
      </w:tr>
      <w:tr>
        <w:tc>
          <w:tcPr>
            <w:tcW w:type="dxa" w:w="2600"/>
            <w:tcMar>
              <w:top w:type="dxa" w:w="80"/>
              <w:left w:type="dxa" w:w="100"/>
              <w:bottom w:type="dxa" w:w="80"/>
              <w:right w:type="dxa" w:w="100"/>
            </w:tcMar>
            <w:vAlign w:val="center"/>
          </w:tcPr>
          <w:p>
            <w:r>
              <w:rPr>
                <w:b w:val="false"/>
                <w:bCs w:val="false"/>
                <w:sz w:val="20"/>
                <w:szCs w:val="20"/>
              </w:rPr>
              <w:t xml:space="preserve">Schedule delay (days)</w:t>
            </w:r>
          </w:p>
        </w:tc>
        <w:tc>
          <w:tcPr>
            <w:tcW w:type="dxa" w:w="3400"/>
            <w:tcMar>
              <w:top w:type="dxa" w:w="80"/>
              <w:left w:type="dxa" w:w="100"/>
              <w:bottom w:type="dxa" w:w="80"/>
              <w:right w:type="dxa" w:w="100"/>
            </w:tcMar>
            <w:vAlign w:val="center"/>
          </w:tcPr>
          <w:p>
            <w:r>
              <w:rPr>
                <w:b w:val="false"/>
                <w:bCs w:val="false"/>
                <w:sz w:val="20"/>
                <w:szCs w:val="20"/>
              </w:rPr>
              <w:t xml:space="preserve">Survival analysis (Cox proportional hazards) or regression on delay days</w:t>
            </w:r>
          </w:p>
        </w:tc>
        <w:tc>
          <w:tcPr>
            <w:tcW w:type="dxa" w:w="4200"/>
            <w:tcMar>
              <w:top w:type="dxa" w:w="80"/>
              <w:left w:type="dxa" w:w="100"/>
              <w:bottom w:type="dxa" w:w="80"/>
              <w:right w:type="dxa" w:w="100"/>
            </w:tcMar>
            <w:vAlign w:val="center"/>
          </w:tcPr>
          <w:p>
            <w:r>
              <w:rPr>
                <w:b w:val="false"/>
                <w:bCs w:val="false"/>
                <w:sz w:val="20"/>
                <w:szCs w:val="20"/>
              </w:rPr>
              <w:t xml:space="preserve">Survival analysis appropriately handles projects that have not yet finished (censored data), common in an active portfolio.</w:t>
            </w:r>
          </w:p>
        </w:tc>
      </w:tr>
    </w:tbl>
    <w:p>
      <w:pPr>
        <w:spacing w:after="160" w:line="276"/>
      </w:pPr>
      <w:r>
        <w:rPr>
          <w:sz w:val="22"/>
          <w:szCs w:val="22"/>
        </w:rPr>
        <w:t xml:space="preserve"/>
      </w:r>
    </w:p>
    <w:p>
      <w:pPr>
        <w:pStyle w:val="Heading2"/>
        <w:spacing w:after="150" w:before="300"/>
      </w:pPr>
      <w:r>
        <w:t xml:space="preserve">4.1 How These Are Implemented With Power BI</w:t>
      </w:r>
    </w:p>
    <w:p>
      <w:pPr>
        <w:spacing w:after="160" w:line="276"/>
      </w:pPr>
      <w:r>
        <w:rPr>
          <w:sz w:val="22"/>
          <w:szCs w:val="22"/>
        </w:rPr>
        <w:t xml:space="preserve">Power BI is a visualization and semantic-modeling platform first, and a modeling platform second — so the implementation plan uses a hybrid approach:</w:t>
      </w:r>
    </w:p>
    <w:p>
      <w:pPr>
        <w:pStyle w:val="ListParagraph"/>
        <w:numPr>
          <w:ilvl w:val="0"/>
          <w:numId w:val="2"/>
        </w:numPr>
        <w:spacing w:after="90"/>
      </w:pPr>
      <w:r>
        <w:rPr>
          <w:sz w:val="22"/>
          <w:szCs w:val="22"/>
        </w:rPr>
        <w:t xml:space="preserve">Native Power BI forecasting: the built-in Analytics pane "Forecast" feature (exponential smoothing) is used directly on line visuals for quick resource/cost trend projections with confidence bands — no code required.</w:t>
      </w:r>
    </w:p>
    <w:p>
      <w:pPr>
        <w:pStyle w:val="ListParagraph"/>
        <w:numPr>
          <w:ilvl w:val="0"/>
          <w:numId w:val="2"/>
        </w:numPr>
        <w:spacing w:after="90"/>
      </w:pPr>
      <w:r>
        <w:rPr>
          <w:sz w:val="22"/>
          <w:szCs w:val="22"/>
        </w:rPr>
        <w:t xml:space="preserve">Key Influencers &amp; Decomposition Tree visuals: used to surface which variables most influence overrun/delay flags, giving business users an interpretable, drill-down view of the classification model's logic.</w:t>
      </w:r>
    </w:p>
    <w:p>
      <w:pPr>
        <w:pStyle w:val="ListParagraph"/>
        <w:numPr>
          <w:ilvl w:val="0"/>
          <w:numId w:val="2"/>
        </w:numPr>
        <w:spacing w:after="90"/>
      </w:pPr>
      <w:r>
        <w:rPr>
          <w:sz w:val="22"/>
          <w:szCs w:val="22"/>
        </w:rPr>
        <w:t xml:space="preserve">Python/R visual + Power Query integration: for the regression, boosted-tree, and survival models, the model is trained externally (Python scikit-learn/XGBoost or R) and either (a) embedded as a Python/R script visual inside Power BI, or (b) trained on a schedule and written back as scored predictions into a table that Power BI reads via Power Query/Dataflows.</w:t>
      </w:r>
    </w:p>
    <w:p>
      <w:pPr>
        <w:pStyle w:val="ListParagraph"/>
        <w:numPr>
          <w:ilvl w:val="0"/>
          <w:numId w:val="2"/>
        </w:numPr>
        <w:spacing w:after="90"/>
      </w:pPr>
      <w:r>
        <w:rPr>
          <w:sz w:val="22"/>
          <w:szCs w:val="22"/>
        </w:rPr>
        <w:t xml:space="preserve">Azure Machine Learning integration (enterprise option): for organizations on Power BI Premium/Fabric, the model is registered in Azure ML and invoked as a Power Query function (AI Insights / ML models in Power BI), so predictions refresh automatically with each dataset refresh.</w:t>
      </w:r>
    </w:p>
    <w:p>
      <w:pPr>
        <w:pStyle w:val="ListParagraph"/>
        <w:numPr>
          <w:ilvl w:val="0"/>
          <w:numId w:val="2"/>
        </w:numPr>
        <w:spacing w:after="90"/>
      </w:pPr>
      <w:r>
        <w:rPr>
          <w:sz w:val="22"/>
          <w:szCs w:val="22"/>
        </w:rPr>
        <w:t xml:space="preserve">DAX measures: used for engineered KPIs consumed by both the model and the dashboard (Cost Performance Index, Schedule Performance Index, % Float Consumed, Rolling 4-Week Productivity).</w:t>
      </w:r>
    </w:p>
    <w:p>
      <w:pPr>
        <w:pStyle w:val="Heading1"/>
        <w:spacing w:after="200" w:before="400"/>
      </w:pPr>
      <w:r>
        <w:t xml:space="preserve">5. Data Preparation and Feature Engineering</w:t>
      </w:r>
    </w:p>
    <w:p>
      <w:pPr>
        <w:pStyle w:val="Heading2"/>
        <w:spacing w:after="150" w:before="300"/>
      </w:pPr>
      <w:r>
        <w:t xml:space="preserve">5.1 Data Sources and Extraction</w:t>
      </w:r>
    </w:p>
    <w:p>
      <w:pPr>
        <w:spacing w:after="160" w:line="276"/>
      </w:pPr>
      <w:r>
        <w:rPr>
          <w:sz w:val="22"/>
          <w:szCs w:val="22"/>
        </w:rPr>
        <w:t xml:space="preserve">Historical data is consolidated from the systems typically found in a virtual-construction environment:</w:t>
      </w:r>
    </w:p>
    <w:p>
      <w:pPr>
        <w:pStyle w:val="ListParagraph"/>
        <w:numPr>
          <w:ilvl w:val="0"/>
          <w:numId w:val="2"/>
        </w:numPr>
        <w:spacing w:after="90"/>
      </w:pPr>
      <w:r>
        <w:rPr>
          <w:sz w:val="22"/>
          <w:szCs w:val="22"/>
        </w:rPr>
        <w:t xml:space="preserve">Scheduling exports (Primavera P6 / MS Project) — task-level planned vs. actual dates, float, resource assignments.</w:t>
      </w:r>
    </w:p>
    <w:p>
      <w:pPr>
        <w:pStyle w:val="ListParagraph"/>
        <w:numPr>
          <w:ilvl w:val="0"/>
          <w:numId w:val="2"/>
        </w:numPr>
        <w:spacing w:after="90"/>
      </w:pPr>
      <w:r>
        <w:rPr>
          <w:sz w:val="22"/>
          <w:szCs w:val="22"/>
        </w:rPr>
        <w:t xml:space="preserve">BIM/CDE platforms (Autodesk Construction Cloud, BIM 360, Navisworks) — model versions, clash-detection counts, design maturity/LOD stage.</w:t>
      </w:r>
    </w:p>
    <w:p>
      <w:pPr>
        <w:pStyle w:val="ListParagraph"/>
        <w:numPr>
          <w:ilvl w:val="0"/>
          <w:numId w:val="2"/>
        </w:numPr>
        <w:spacing w:after="90"/>
      </w:pPr>
      <w:r>
        <w:rPr>
          <w:sz w:val="22"/>
          <w:szCs w:val="22"/>
        </w:rPr>
        <w:t xml:space="preserve">Cost/ERP systems — budget lines, committed cost, actual cost, change orders.</w:t>
      </w:r>
    </w:p>
    <w:p>
      <w:pPr>
        <w:pStyle w:val="ListParagraph"/>
        <w:numPr>
          <w:ilvl w:val="0"/>
          <w:numId w:val="2"/>
        </w:numPr>
        <w:spacing w:after="90"/>
      </w:pPr>
      <w:r>
        <w:rPr>
          <w:sz w:val="22"/>
          <w:szCs w:val="22"/>
        </w:rPr>
        <w:t xml:space="preserve">Site/IoT and weather feeds — daily weather, delay logs, site diaries.</w:t>
      </w:r>
    </w:p>
    <w:p>
      <w:pPr>
        <w:pStyle w:val="Heading2"/>
        <w:spacing w:after="150" w:before="300"/>
      </w:pPr>
      <w:r>
        <w:t xml:space="preserve">5.2 Cleaning and Transformation (Power Query)</w:t>
      </w:r>
    </w:p>
    <w:p>
      <w:pPr>
        <w:pStyle w:val="ListParagraph"/>
        <w:numPr>
          <w:ilvl w:val="0"/>
          <w:numId w:val="3"/>
        </w:numPr>
        <w:spacing w:after="90"/>
      </w:pPr>
      <w:r>
        <w:rPr>
          <w:sz w:val="22"/>
          <w:szCs w:val="22"/>
        </w:rPr>
        <w:t xml:space="preserve">Import each source into Power Query and profile columns (column quality/ distribution) to identify missing values and outliers.</w:t>
      </w:r>
    </w:p>
    <w:p>
      <w:pPr>
        <w:pStyle w:val="ListParagraph"/>
        <w:numPr>
          <w:ilvl w:val="0"/>
          <w:numId w:val="3"/>
        </w:numPr>
        <w:spacing w:after="90"/>
      </w:pPr>
      <w:r>
        <w:rPr>
          <w:sz w:val="22"/>
          <w:szCs w:val="22"/>
        </w:rPr>
        <w:t xml:space="preserve">Standardize project and task identifiers across systems (a master "Project Key" and "WBS Code" mapping table).</w:t>
      </w:r>
    </w:p>
    <w:p>
      <w:pPr>
        <w:pStyle w:val="ListParagraph"/>
        <w:numPr>
          <w:ilvl w:val="0"/>
          <w:numId w:val="3"/>
        </w:numPr>
        <w:spacing w:after="90"/>
      </w:pPr>
      <w:r>
        <w:rPr>
          <w:sz w:val="22"/>
          <w:szCs w:val="22"/>
        </w:rPr>
        <w:t xml:space="preserve">Handle missing values: forward-fill for cumulative cost/schedule fields, median-impute for resource fields, and explicit "Unknown" category for categorical context fields.</w:t>
      </w:r>
    </w:p>
    <w:p>
      <w:pPr>
        <w:pStyle w:val="ListParagraph"/>
        <w:numPr>
          <w:ilvl w:val="0"/>
          <w:numId w:val="3"/>
        </w:numPr>
        <w:spacing w:after="90"/>
      </w:pPr>
      <w:r>
        <w:rPr>
          <w:sz w:val="22"/>
          <w:szCs w:val="22"/>
        </w:rPr>
        <w:t xml:space="preserve">Engineer derived features: % float consumed, CPI, SPI, change-order rate, weather-delay-day count, procurement lead-time variance.</w:t>
      </w:r>
    </w:p>
    <w:p>
      <w:pPr>
        <w:pStyle w:val="ListParagraph"/>
        <w:numPr>
          <w:ilvl w:val="0"/>
          <w:numId w:val="3"/>
        </w:numPr>
        <w:spacing w:after="90"/>
      </w:pPr>
      <w:r>
        <w:rPr>
          <w:sz w:val="22"/>
          <w:szCs w:val="22"/>
        </w:rPr>
        <w:t xml:space="preserve">Create a rolling-window table (2-week and 4-week aggregation) to support both time-series forecasting and classification training rows.</w:t>
      </w:r>
    </w:p>
    <w:p>
      <w:pPr>
        <w:pStyle w:val="ListParagraph"/>
        <w:numPr>
          <w:ilvl w:val="0"/>
          <w:numId w:val="3"/>
        </w:numPr>
        <w:spacing w:after="90"/>
      </w:pPr>
      <w:r>
        <w:rPr>
          <w:sz w:val="22"/>
          <w:szCs w:val="22"/>
        </w:rPr>
        <w:t xml:space="preserve">Split data into training/validation/test sets by project (not by row) to avoid data leakage — i.e., entire projects are held out for validation rather than individual weeks from the same project.</w:t>
      </w:r>
    </w:p>
    <w:p>
      <w:pPr>
        <w:pStyle w:val="Heading2"/>
        <w:spacing w:after="150" w:before="300"/>
      </w:pPr>
      <w:r>
        <w:t xml:space="preserve">5.3 Data Model (Star Schema)</w:t>
      </w:r>
    </w:p>
    <w:p>
      <w:pPr>
        <w:spacing w:after="160" w:line="276"/>
      </w:pPr>
      <w:r>
        <w:rPr>
          <w:sz w:val="22"/>
          <w:szCs w:val="22"/>
        </w:rPr>
        <w:t xml:space="preserve">The Power BI semantic model is built as a star schema with a central Fact_ProjectPeriod table (grain: project × week) surrounded by dimension tables: Dim_Project, Dim_Task/WBS, Dim_Date, Dim_ResourceType, and Dim_Region. Predicted values (overrun probability, forecasted resource demand, delay-risk score) are stored as measures/columns on Fact_ProjectPeriod so they can be sliced by any dimension.</w:t>
      </w:r>
    </w:p>
    <w:p>
      <w:pPr>
        <w:pStyle w:val="Heading1"/>
        <w:spacing w:after="200" w:before="400"/>
      </w:pPr>
      <w:r>
        <w:t xml:space="preserve">6. Integration Plan: Power BI Implementation Workflow</w:t>
      </w:r>
    </w:p>
    <w:p>
      <w:pPr>
        <w:spacing w:after="160" w:line="276"/>
      </w:pPr>
      <w:r>
        <w:rPr>
          <w:sz w:val="22"/>
          <w:szCs w:val="22"/>
        </w:rPr>
        <w:t xml:space="preserve">The following step-by-step workflow takes the model from raw data to a live, refreshing dashboard.</w:t>
      </w:r>
    </w:p>
    <w:p>
      <w:pPr>
        <w:pStyle w:val="Heading2"/>
        <w:spacing w:after="150" w:before="300"/>
      </w:pPr>
      <w:r>
        <w:t xml:space="preserve">Step 1 — Data Ingestion</w:t>
      </w:r>
    </w:p>
    <w:p>
      <w:pPr>
        <w:spacing w:after="160" w:line="276"/>
      </w:pPr>
      <w:r>
        <w:rPr>
          <w:sz w:val="22"/>
          <w:szCs w:val="22"/>
        </w:rPr>
        <w:t xml:space="preserve">Connect Power BI Desktop to source systems (SQL Server/Azure SQL export of ERP &amp; scheduling data, SharePoint/Excel for site diaries, REST API or CSV export from BIM 360/ACC). Use Power Query to load raw tables into a staging layer.</w:t>
      </w:r>
    </w:p>
    <w:p>
      <w:pPr>
        <w:pStyle w:val="Heading2"/>
        <w:spacing w:after="150" w:before="300"/>
      </w:pPr>
      <w:r>
        <w:t xml:space="preserve">Step 2 — Transformation and Feature Engineering</w:t>
      </w:r>
    </w:p>
    <w:p>
      <w:pPr>
        <w:spacing w:after="160" w:line="276"/>
      </w:pPr>
      <w:r>
        <w:rPr>
          <w:sz w:val="22"/>
          <w:szCs w:val="22"/>
        </w:rPr>
        <w:t xml:space="preserve">Apply the cleaning and feature-engineering steps from Section 5.2 inside Power Query (M language) so the pipeline is repeatable on every scheduled refresh.</w:t>
      </w:r>
    </w:p>
    <w:p>
      <w:pPr>
        <w:pStyle w:val="Heading2"/>
        <w:spacing w:after="150" w:before="300"/>
      </w:pPr>
      <w:r>
        <w:t xml:space="preserve">Step 3 — External Model Training</w:t>
      </w:r>
    </w:p>
    <w:p>
      <w:pPr>
        <w:spacing w:after="160" w:line="276"/>
      </w:pPr>
      <w:r>
        <w:rPr>
          <w:sz w:val="22"/>
          <w:szCs w:val="22"/>
        </w:rPr>
        <w:t xml:space="preserve">Export the prepared training table (or connect directly via a Python/pandas script) and train the regression, classification, and time-series models described in Section 4 using scikit-learn / statsmodels / XGBoost. Serialize the trained models (e.g., with joblib or ONNX) and validate performance (Section 8) before deployment.</w:t>
      </w:r>
    </w:p>
    <w:p>
      <w:pPr>
        <w:pStyle w:val="Heading2"/>
        <w:spacing w:after="150" w:before="300"/>
      </w:pPr>
      <w:r>
        <w:t xml:space="preserve">Step 4 — Scoring Pipeline</w:t>
      </w:r>
    </w:p>
    <w:p>
      <w:pPr>
        <w:spacing w:after="160" w:line="276"/>
      </w:pPr>
      <w:r>
        <w:rPr>
          <w:sz w:val="22"/>
          <w:szCs w:val="22"/>
        </w:rPr>
        <w:t xml:space="preserve">Two supported patterns, chosen based on licensing/infrastructure:</w:t>
      </w:r>
    </w:p>
    <w:p>
      <w:pPr>
        <w:pStyle w:val="ListParagraph"/>
        <w:numPr>
          <w:ilvl w:val="0"/>
          <w:numId w:val="2"/>
        </w:numPr>
        <w:spacing w:after="90"/>
      </w:pPr>
      <w:r>
        <w:rPr>
          <w:sz w:val="22"/>
          <w:szCs w:val="22"/>
        </w:rPr>
        <w:t xml:space="preserve">Batch scoring: a scheduled Python/Databricks/Azure ML job scores new project-period rows and writes results to a "Predictions" table in the same Azure SQL/Data Lake source that Power BI refreshes from.</w:t>
      </w:r>
    </w:p>
    <w:p>
      <w:pPr>
        <w:pStyle w:val="ListParagraph"/>
        <w:numPr>
          <w:ilvl w:val="0"/>
          <w:numId w:val="2"/>
        </w:numPr>
        <w:spacing w:after="90"/>
      </w:pPr>
      <w:r>
        <w:rPr>
          <w:sz w:val="22"/>
          <w:szCs w:val="22"/>
        </w:rPr>
        <w:t xml:space="preserve">In-report scoring: a Python or R script visual inside Power BI Desktop calls the serialized model directly on the filtered dataset for ad-hoc "what-if" exploration (best for analysts, not for production dashboards, due to script-visual refresh limits in the Service).</w:t>
      </w:r>
    </w:p>
    <w:p>
      <w:pPr>
        <w:pStyle w:val="Heading2"/>
        <w:spacing w:after="150" w:before="300"/>
      </w:pPr>
      <w:r>
        <w:t xml:space="preserve">Step 5 — Semantic Model &amp; DAX Measures</w:t>
      </w:r>
    </w:p>
    <w:p>
      <w:pPr>
        <w:spacing w:after="160" w:line="276"/>
      </w:pPr>
      <w:r>
        <w:rPr>
          <w:sz w:val="22"/>
          <w:szCs w:val="22"/>
        </w:rPr>
        <w:t xml:space="preserve">Build the star schema (Section 5.3) in Power BI, then author DAX measures for: Predicted Final Cost, Overrun Probability %, Expected Delay (Days), Forecasted Resource Demand (next 4 weeks), and variance-to-actual measures that will feed conditional formatting and alerts.</w:t>
      </w:r>
    </w:p>
    <w:p>
      <w:pPr>
        <w:pStyle w:val="Heading2"/>
        <w:spacing w:after="150" w:before="300"/>
      </w:pPr>
      <w:r>
        <w:t xml:space="preserve">Step 6 — Dashboard Assembly</w:t>
      </w:r>
    </w:p>
    <w:p>
      <w:pPr>
        <w:spacing w:after="160" w:line="276"/>
      </w:pPr>
      <w:r>
        <w:rPr>
          <w:sz w:val="22"/>
          <w:szCs w:val="22"/>
        </w:rPr>
        <w:t xml:space="preserve">Build report pages per Section 7, wire up cross-filtering, drill-through from portfolio to project to task level, and apply the Key Influencers and Decomposition Tree visuals against the classification outputs.</w:t>
      </w:r>
    </w:p>
    <w:p>
      <w:pPr>
        <w:pStyle w:val="Heading2"/>
        <w:spacing w:after="150" w:before="300"/>
      </w:pPr>
      <w:r>
        <w:t xml:space="preserve">Step 7 — Publish, Schedule Refresh, and Alerts</w:t>
      </w:r>
    </w:p>
    <w:p>
      <w:pPr>
        <w:spacing w:after="160" w:line="276"/>
      </w:pPr>
      <w:r>
        <w:rPr>
          <w:sz w:val="22"/>
          <w:szCs w:val="22"/>
        </w:rPr>
        <w:t xml:space="preserve">Publish to the Power BI Service, configure a scheduled/incremental refresh aligned to how often the source scoring table updates, and set data-driven alerts (e.g., "Overrun Probability &gt; 70%") that notify project managers via Power BI mobile alerts or Power Automate email/Teams flows.</w:t>
      </w:r>
    </w:p>
    <w:p>
      <w:pPr>
        <w:pStyle w:val="Heading2"/>
        <w:spacing w:after="150" w:before="300"/>
      </w:pPr>
      <w:r>
        <w:t xml:space="preserve">Step 8 — Governance and Rollout</w:t>
      </w:r>
    </w:p>
    <w:p>
      <w:pPr>
        <w:spacing w:after="160" w:line="276"/>
      </w:pPr>
      <w:r>
        <w:rPr>
          <w:sz w:val="22"/>
          <w:szCs w:val="22"/>
        </w:rPr>
        <w:t xml:space="preserve">Apply row-level security (RLS) so each project manager only sees their own projects, publish to a dedicated workspace/App, and run a pilot with 2–3 live projects before portfolio-wide rollout.</w:t>
      </w:r>
    </w:p>
    <w:p>
      <w:pPr>
        <w:pStyle w:val="Heading1"/>
        <w:spacing w:after="200" w:before="400"/>
      </w:pPr>
      <w:r>
        <w:t xml:space="preserve">7. Dashboard Design and User Experience</w:t>
      </w:r>
    </w:p>
    <w:p>
      <w:pPr>
        <w:spacing w:after="160" w:line="276"/>
      </w:pPr>
      <w:r>
        <w:rPr>
          <w:sz w:val="22"/>
          <w:szCs w:val="22"/>
        </w:rPr>
        <w:t xml:space="preserve">The report is designed as a four-page Power BI App so that different stakeholders reach the depth of detail they need in one or two clicks.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00"/>
      </w:tblGrid>
      <w:tr>
        <w:trPr>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Page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Audience</w:t>
            </w:r>
          </w:p>
        </w:tc>
        <w:tc>
          <w:tcPr>
            <w:tcW w:type="dxa" w:w="5200"/>
            <w:shd w:fill="1F3864" w:val="clear"/>
            <w:tcMar>
              <w:top w:type="dxa" w:w="80"/>
              <w:left w:type="dxa" w:w="100"/>
              <w:bottom w:type="dxa" w:w="80"/>
              <w:right w:type="dxa" w:w="100"/>
            </w:tcMar>
            <w:vAlign w:val="center"/>
          </w:tcPr>
          <w:p>
            <w:r>
              <w:rPr>
                <w:b/>
                <w:bCs/>
                <w:color w:val="FFFFFF"/>
                <w:sz w:val="20"/>
                <w:szCs w:val="20"/>
              </w:rPr>
              <w:t xml:space="preserve">Key Visuals</w:t>
            </w:r>
          </w:p>
        </w:tc>
      </w:tr>
      <w:tr>
        <w:tc>
          <w:tcPr>
            <w:tcW w:type="dxa" w:w="2400"/>
            <w:tcMar>
              <w:top w:type="dxa" w:w="80"/>
              <w:left w:type="dxa" w:w="100"/>
              <w:bottom w:type="dxa" w:w="80"/>
              <w:right w:type="dxa" w:w="100"/>
            </w:tcMar>
            <w:vAlign w:val="center"/>
          </w:tcPr>
          <w:p>
            <w:r>
              <w:rPr>
                <w:b w:val="false"/>
                <w:bCs w:val="false"/>
                <w:sz w:val="20"/>
                <w:szCs w:val="20"/>
              </w:rPr>
              <w:t xml:space="preserve">Portfolio Overview</w:t>
            </w:r>
          </w:p>
        </w:tc>
        <w:tc>
          <w:tcPr>
            <w:tcW w:type="dxa" w:w="2400"/>
            <w:tcMar>
              <w:top w:type="dxa" w:w="80"/>
              <w:left w:type="dxa" w:w="100"/>
              <w:bottom w:type="dxa" w:w="80"/>
              <w:right w:type="dxa" w:w="100"/>
            </w:tcMar>
            <w:vAlign w:val="center"/>
          </w:tcPr>
          <w:p>
            <w:r>
              <w:rPr>
                <w:b w:val="false"/>
                <w:bCs w:val="false"/>
                <w:sz w:val="20"/>
                <w:szCs w:val="20"/>
              </w:rPr>
              <w:t xml:space="preserve">Executives / PMO</w:t>
            </w:r>
          </w:p>
        </w:tc>
        <w:tc>
          <w:tcPr>
            <w:tcW w:type="dxa" w:w="5200"/>
            <w:tcMar>
              <w:top w:type="dxa" w:w="80"/>
              <w:left w:type="dxa" w:w="100"/>
              <w:bottom w:type="dxa" w:w="80"/>
              <w:right w:type="dxa" w:w="100"/>
            </w:tcMar>
            <w:vAlign w:val="center"/>
          </w:tcPr>
          <w:p>
            <w:r>
              <w:rPr>
                <w:b w:val="false"/>
                <w:bCs w:val="false"/>
                <w:sz w:val="20"/>
                <w:szCs w:val="20"/>
              </w:rPr>
              <w:t xml:space="preserve">Scorecard KPIs (on-time %, on-budget %), matrix of projects coloured by risk score, map of projects by region</w:t>
            </w:r>
          </w:p>
        </w:tc>
      </w:tr>
      <w:tr>
        <w:tc>
          <w:tcPr>
            <w:tcW w:type="dxa" w:w="2400"/>
            <w:tcMar>
              <w:top w:type="dxa" w:w="80"/>
              <w:left w:type="dxa" w:w="100"/>
              <w:bottom w:type="dxa" w:w="80"/>
              <w:right w:type="dxa" w:w="100"/>
            </w:tcMar>
            <w:vAlign w:val="center"/>
          </w:tcPr>
          <w:p>
            <w:r>
              <w:rPr>
                <w:b w:val="false"/>
                <w:bCs w:val="false"/>
                <w:sz w:val="20"/>
                <w:szCs w:val="20"/>
              </w:rPr>
              <w:t xml:space="preserve">Budget Forecast</w:t>
            </w:r>
          </w:p>
        </w:tc>
        <w:tc>
          <w:tcPr>
            <w:tcW w:type="dxa" w:w="2400"/>
            <w:tcMar>
              <w:top w:type="dxa" w:w="80"/>
              <w:left w:type="dxa" w:w="100"/>
              <w:bottom w:type="dxa" w:w="80"/>
              <w:right w:type="dxa" w:w="100"/>
            </w:tcMar>
            <w:vAlign w:val="center"/>
          </w:tcPr>
          <w:p>
            <w:r>
              <w:rPr>
                <w:b w:val="false"/>
                <w:bCs w:val="false"/>
                <w:sz w:val="20"/>
                <w:szCs w:val="20"/>
              </w:rPr>
              <w:t xml:space="preserve">Cost controllers</w:t>
            </w:r>
          </w:p>
        </w:tc>
        <w:tc>
          <w:tcPr>
            <w:tcW w:type="dxa" w:w="5200"/>
            <w:tcMar>
              <w:top w:type="dxa" w:w="80"/>
              <w:left w:type="dxa" w:w="100"/>
              <w:bottom w:type="dxa" w:w="80"/>
              <w:right w:type="dxa" w:w="100"/>
            </w:tcMar>
            <w:vAlign w:val="center"/>
          </w:tcPr>
          <w:p>
            <w:r>
              <w:rPr>
                <w:b w:val="false"/>
                <w:bCs w:val="false"/>
                <w:sz w:val="20"/>
                <w:szCs w:val="20"/>
              </w:rPr>
              <w:t xml:space="preserve">Actual vs. forecast cost line chart with confidence band, Key Influencers visual on overrun flag, waterfall of change-order impact</w:t>
            </w:r>
          </w:p>
        </w:tc>
      </w:tr>
      <w:tr>
        <w:tc>
          <w:tcPr>
            <w:tcW w:type="dxa" w:w="2400"/>
            <w:tcMar>
              <w:top w:type="dxa" w:w="80"/>
              <w:left w:type="dxa" w:w="100"/>
              <w:bottom w:type="dxa" w:w="80"/>
              <w:right w:type="dxa" w:w="100"/>
            </w:tcMar>
            <w:vAlign w:val="center"/>
          </w:tcPr>
          <w:p>
            <w:r>
              <w:rPr>
                <w:b w:val="false"/>
                <w:bCs w:val="false"/>
                <w:sz w:val="20"/>
                <w:szCs w:val="20"/>
              </w:rPr>
              <w:t xml:space="preserve">Resource Planning</w:t>
            </w:r>
          </w:p>
        </w:tc>
        <w:tc>
          <w:tcPr>
            <w:tcW w:type="dxa" w:w="2400"/>
            <w:tcMar>
              <w:top w:type="dxa" w:w="80"/>
              <w:left w:type="dxa" w:w="100"/>
              <w:bottom w:type="dxa" w:w="80"/>
              <w:right w:type="dxa" w:w="100"/>
            </w:tcMar>
            <w:vAlign w:val="center"/>
          </w:tcPr>
          <w:p>
            <w:r>
              <w:rPr>
                <w:b w:val="false"/>
                <w:bCs w:val="false"/>
                <w:sz w:val="20"/>
                <w:szCs w:val="20"/>
              </w:rPr>
              <w:t xml:space="preserve">Resource/site managers</w:t>
            </w:r>
          </w:p>
        </w:tc>
        <w:tc>
          <w:tcPr>
            <w:tcW w:type="dxa" w:w="5200"/>
            <w:tcMar>
              <w:top w:type="dxa" w:w="80"/>
              <w:left w:type="dxa" w:w="100"/>
              <w:bottom w:type="dxa" w:w="80"/>
              <w:right w:type="dxa" w:w="100"/>
            </w:tcMar>
            <w:vAlign w:val="center"/>
          </w:tcPr>
          <w:p>
            <w:r>
              <w:rPr>
                <w:b w:val="false"/>
                <w:bCs w:val="false"/>
                <w:sz w:val="20"/>
                <w:szCs w:val="20"/>
              </w:rPr>
              <w:t xml:space="preserve">Stacked forecast of labour/equipment demand next 4–8 weeks vs. current capacity, heat-map by trade/crew</w:t>
            </w:r>
          </w:p>
        </w:tc>
      </w:tr>
      <w:tr>
        <w:tc>
          <w:tcPr>
            <w:tcW w:type="dxa" w:w="2400"/>
            <w:tcMar>
              <w:top w:type="dxa" w:w="80"/>
              <w:left w:type="dxa" w:w="100"/>
              <w:bottom w:type="dxa" w:w="80"/>
              <w:right w:type="dxa" w:w="100"/>
            </w:tcMar>
            <w:vAlign w:val="center"/>
          </w:tcPr>
          <w:p>
            <w:r>
              <w:rPr>
                <w:b w:val="false"/>
                <w:bCs w:val="false"/>
                <w:sz w:val="20"/>
                <w:szCs w:val="20"/>
              </w:rPr>
              <w:t xml:space="preserve">Schedule Risk</w:t>
            </w:r>
          </w:p>
        </w:tc>
        <w:tc>
          <w:tcPr>
            <w:tcW w:type="dxa" w:w="2400"/>
            <w:tcMar>
              <w:top w:type="dxa" w:w="80"/>
              <w:left w:type="dxa" w:w="100"/>
              <w:bottom w:type="dxa" w:w="80"/>
              <w:right w:type="dxa" w:w="100"/>
            </w:tcMar>
            <w:vAlign w:val="center"/>
          </w:tcPr>
          <w:p>
            <w:r>
              <w:rPr>
                <w:b w:val="false"/>
                <w:bCs w:val="false"/>
                <w:sz w:val="20"/>
                <w:szCs w:val="20"/>
              </w:rPr>
              <w:t xml:space="preserve">Project managers/schedulers</w:t>
            </w:r>
          </w:p>
        </w:tc>
        <w:tc>
          <w:tcPr>
            <w:tcW w:type="dxa" w:w="5200"/>
            <w:tcMar>
              <w:top w:type="dxa" w:w="80"/>
              <w:left w:type="dxa" w:w="100"/>
              <w:bottom w:type="dxa" w:w="80"/>
              <w:right w:type="dxa" w:w="100"/>
            </w:tcMar>
            <w:vAlign w:val="center"/>
          </w:tcPr>
          <w:p>
            <w:r>
              <w:rPr>
                <w:b w:val="false"/>
                <w:bCs w:val="false"/>
                <w:sz w:val="20"/>
                <w:szCs w:val="20"/>
              </w:rPr>
              <w:t xml:space="preserve">Decomposition tree on delay-flag drivers, Gantt-style critical task list with delay-risk score, drill-through to task detail</w:t>
            </w:r>
          </w:p>
        </w:tc>
      </w:tr>
    </w:tbl>
    <w:p>
      <w:pPr>
        <w:spacing w:after="160" w:line="276"/>
      </w:pPr>
      <w:r>
        <w:rPr>
          <w:sz w:val="22"/>
          <w:szCs w:val="22"/>
        </w:rPr>
        <w:t xml:space="preserve"/>
      </w:r>
    </w:p>
    <w:p>
      <w:pPr>
        <w:spacing w:after="160" w:line="276"/>
      </w:pPr>
      <w:r>
        <w:rPr>
          <w:sz w:val="22"/>
          <w:szCs w:val="22"/>
        </w:rPr>
        <w:t xml:space="preserve">Design principles applied: consistent colour coding (green/amber/red risk bands), tooltips explaining each predictive metric in plain language, bookmarks for guided "story mode" walkthroughs during steering-committee reviews, and mobile-optimized layouts for site-based users.</w:t>
      </w:r>
    </w:p>
    <w:p>
      <w:pPr>
        <w:pStyle w:val="Heading1"/>
        <w:spacing w:after="200" w:before="400"/>
      </w:pPr>
      <w:r>
        <w:t xml:space="preserve">8. Model Validation and Performance Monitoring</w:t>
      </w:r>
    </w:p>
    <w:p>
      <w:pPr>
        <w:spacing w:after="160" w:line="276"/>
      </w:pPr>
      <w:r>
        <w:rPr>
          <w:sz w:val="22"/>
          <w:szCs w:val="22"/>
        </w:rPr>
        <w:t xml:space="preserve">Predictive models used for capital decisions must be continuously validated, not just tested once at build time.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3400"/>
      </w:tblGrid>
      <w:tr>
        <w:trPr>
          <w:tblHeader/>
        </w:trPr>
        <w:tc>
          <w:tcPr>
            <w:tcW w:type="dxa" w:w="3400"/>
            <w:shd w:fill="1F3864" w:val="clear"/>
            <w:tcMar>
              <w:top w:type="dxa" w:w="80"/>
              <w:left w:type="dxa" w:w="100"/>
              <w:bottom w:type="dxa" w:w="80"/>
              <w:right w:type="dxa" w:w="100"/>
            </w:tcMar>
            <w:vAlign w:val="center"/>
          </w:tcPr>
          <w:p>
            <w:r>
              <w:rPr>
                <w:b/>
                <w:bCs/>
                <w:color w:val="FFFFFF"/>
                <w:sz w:val="20"/>
                <w:szCs w:val="20"/>
              </w:rPr>
              <w:t xml:space="preserve">Model Type</w:t>
            </w:r>
          </w:p>
        </w:tc>
        <w:tc>
          <w:tcPr>
            <w:tcW w:type="dxa" w:w="4200"/>
            <w:shd w:fill="1F3864" w:val="clear"/>
            <w:tcMar>
              <w:top w:type="dxa" w:w="80"/>
              <w:left w:type="dxa" w:w="100"/>
              <w:bottom w:type="dxa" w:w="80"/>
              <w:right w:type="dxa" w:w="100"/>
            </w:tcMar>
            <w:vAlign w:val="center"/>
          </w:tcPr>
          <w:p>
            <w:r>
              <w:rPr>
                <w:b/>
                <w:bCs/>
                <w:color w:val="FFFFFF"/>
                <w:sz w:val="20"/>
                <w:szCs w:val="20"/>
              </w:rPr>
              <w:t xml:space="preserve">Validation Metric(s)</w:t>
            </w:r>
          </w:p>
        </w:tc>
        <w:tc>
          <w:tcPr>
            <w:tcW w:type="dxa" w:w="3400"/>
            <w:shd w:fill="1F3864" w:val="clear"/>
            <w:tcMar>
              <w:top w:type="dxa" w:w="80"/>
              <w:left w:type="dxa" w:w="100"/>
              <w:bottom w:type="dxa" w:w="80"/>
              <w:right w:type="dxa" w:w="100"/>
            </w:tcMar>
            <w:vAlign w:val="center"/>
          </w:tcPr>
          <w:p>
            <w:r>
              <w:rPr>
                <w:b/>
                <w:bCs/>
                <w:color w:val="FFFFFF"/>
                <w:sz w:val="20"/>
                <w:szCs w:val="20"/>
              </w:rPr>
              <w:t xml:space="preserve">Monitoring Cadence</w:t>
            </w:r>
          </w:p>
        </w:tc>
      </w:tr>
      <w:tr>
        <w:tc>
          <w:tcPr>
            <w:tcW w:type="dxa" w:w="3400"/>
            <w:tcMar>
              <w:top w:type="dxa" w:w="80"/>
              <w:left w:type="dxa" w:w="100"/>
              <w:bottom w:type="dxa" w:w="80"/>
              <w:right w:type="dxa" w:w="100"/>
            </w:tcMar>
            <w:vAlign w:val="center"/>
          </w:tcPr>
          <w:p>
            <w:r>
              <w:rPr>
                <w:b w:val="false"/>
                <w:bCs w:val="false"/>
                <w:sz w:val="20"/>
                <w:szCs w:val="20"/>
              </w:rPr>
              <w:t xml:space="preserve">Regression (cost/delay days)</w:t>
            </w:r>
          </w:p>
        </w:tc>
        <w:tc>
          <w:tcPr>
            <w:tcW w:type="dxa" w:w="4200"/>
            <w:tcMar>
              <w:top w:type="dxa" w:w="80"/>
              <w:left w:type="dxa" w:w="100"/>
              <w:bottom w:type="dxa" w:w="80"/>
              <w:right w:type="dxa" w:w="100"/>
            </w:tcMar>
            <w:vAlign w:val="center"/>
          </w:tcPr>
          <w:p>
            <w:r>
              <w:rPr>
                <w:b w:val="false"/>
                <w:bCs w:val="false"/>
                <w:sz w:val="20"/>
                <w:szCs w:val="20"/>
              </w:rPr>
              <w:t xml:space="preserve">MAE, RMSE, R²</w:t>
            </w:r>
          </w:p>
        </w:tc>
        <w:tc>
          <w:tcPr>
            <w:tcW w:type="dxa" w:w="3400"/>
            <w:tcMar>
              <w:top w:type="dxa" w:w="80"/>
              <w:left w:type="dxa" w:w="100"/>
              <w:bottom w:type="dxa" w:w="80"/>
              <w:right w:type="dxa" w:w="100"/>
            </w:tcMar>
            <w:vAlign w:val="center"/>
          </w:tcPr>
          <w:p>
            <w:r>
              <w:rPr>
                <w:b w:val="false"/>
                <w:bCs w:val="false"/>
                <w:sz w:val="20"/>
                <w:szCs w:val="20"/>
              </w:rPr>
              <w:t xml:space="preserve">Every project-period refresh</w:t>
            </w:r>
          </w:p>
        </w:tc>
      </w:tr>
      <w:tr>
        <w:tc>
          <w:tcPr>
            <w:tcW w:type="dxa" w:w="3400"/>
            <w:tcMar>
              <w:top w:type="dxa" w:w="80"/>
              <w:left w:type="dxa" w:w="100"/>
              <w:bottom w:type="dxa" w:w="80"/>
              <w:right w:type="dxa" w:w="100"/>
            </w:tcMar>
            <w:vAlign w:val="center"/>
          </w:tcPr>
          <w:p>
            <w:r>
              <w:rPr>
                <w:b w:val="false"/>
                <w:bCs w:val="false"/>
                <w:sz w:val="20"/>
                <w:szCs w:val="20"/>
              </w:rPr>
              <w:t xml:space="preserve">Classification (overrun/delay flag)</w:t>
            </w:r>
          </w:p>
        </w:tc>
        <w:tc>
          <w:tcPr>
            <w:tcW w:type="dxa" w:w="4200"/>
            <w:tcMar>
              <w:top w:type="dxa" w:w="80"/>
              <w:left w:type="dxa" w:w="100"/>
              <w:bottom w:type="dxa" w:w="80"/>
              <w:right w:type="dxa" w:w="100"/>
            </w:tcMar>
            <w:vAlign w:val="center"/>
          </w:tcPr>
          <w:p>
            <w:r>
              <w:rPr>
                <w:b w:val="false"/>
                <w:bCs w:val="false"/>
                <w:sz w:val="20"/>
                <w:szCs w:val="20"/>
              </w:rPr>
              <w:t xml:space="preserve">Precision, Recall, F1, AUC-ROC, confusion matrix</w:t>
            </w:r>
          </w:p>
        </w:tc>
        <w:tc>
          <w:tcPr>
            <w:tcW w:type="dxa" w:w="3400"/>
            <w:tcMar>
              <w:top w:type="dxa" w:w="80"/>
              <w:left w:type="dxa" w:w="100"/>
              <w:bottom w:type="dxa" w:w="80"/>
              <w:right w:type="dxa" w:w="100"/>
            </w:tcMar>
            <w:vAlign w:val="center"/>
          </w:tcPr>
          <w:p>
            <w:r>
              <w:rPr>
                <w:b w:val="false"/>
                <w:bCs w:val="false"/>
                <w:sz w:val="20"/>
                <w:szCs w:val="20"/>
              </w:rPr>
              <w:t xml:space="preserve">Monthly, plus post-project retrospective</w:t>
            </w:r>
          </w:p>
        </w:tc>
      </w:tr>
      <w:tr>
        <w:tc>
          <w:tcPr>
            <w:tcW w:type="dxa" w:w="3400"/>
            <w:tcMar>
              <w:top w:type="dxa" w:w="80"/>
              <w:left w:type="dxa" w:w="100"/>
              <w:bottom w:type="dxa" w:w="80"/>
              <w:right w:type="dxa" w:w="100"/>
            </w:tcMar>
            <w:vAlign w:val="center"/>
          </w:tcPr>
          <w:p>
            <w:r>
              <w:rPr>
                <w:b w:val="false"/>
                <w:bCs w:val="false"/>
                <w:sz w:val="20"/>
                <w:szCs w:val="20"/>
              </w:rPr>
              <w:t xml:space="preserve">Time series (resource demand)</w:t>
            </w:r>
          </w:p>
        </w:tc>
        <w:tc>
          <w:tcPr>
            <w:tcW w:type="dxa" w:w="4200"/>
            <w:tcMar>
              <w:top w:type="dxa" w:w="80"/>
              <w:left w:type="dxa" w:w="100"/>
              <w:bottom w:type="dxa" w:w="80"/>
              <w:right w:type="dxa" w:w="100"/>
            </w:tcMar>
            <w:vAlign w:val="center"/>
          </w:tcPr>
          <w:p>
            <w:r>
              <w:rPr>
                <w:b w:val="false"/>
                <w:bCs w:val="false"/>
                <w:sz w:val="20"/>
                <w:szCs w:val="20"/>
              </w:rPr>
              <w:t xml:space="preserve">MAPE, forecast bias, tracking signal</w:t>
            </w:r>
          </w:p>
        </w:tc>
        <w:tc>
          <w:tcPr>
            <w:tcW w:type="dxa" w:w="3400"/>
            <w:tcMar>
              <w:top w:type="dxa" w:w="80"/>
              <w:left w:type="dxa" w:w="100"/>
              <w:bottom w:type="dxa" w:w="80"/>
              <w:right w:type="dxa" w:w="100"/>
            </w:tcMar>
            <w:vAlign w:val="center"/>
          </w:tcPr>
          <w:p>
            <w:r>
              <w:rPr>
                <w:b w:val="false"/>
                <w:bCs w:val="false"/>
                <w:sz w:val="20"/>
                <w:szCs w:val="20"/>
              </w:rPr>
              <w:t xml:space="preserve">Weekly, rolling 4-week window</w:t>
            </w:r>
          </w:p>
        </w:tc>
      </w:tr>
    </w:tbl>
    <w:p>
      <w:pPr>
        <w:spacing w:after="160" w:line="276"/>
      </w:pPr>
      <w:r>
        <w:rPr>
          <w:sz w:val="22"/>
          <w:szCs w:val="22"/>
        </w:rPr>
        <w:t xml:space="preserve"/>
      </w:r>
    </w:p>
    <w:p>
      <w:pPr>
        <w:spacing w:after="160" w:line="276"/>
      </w:pPr>
      <w:r>
        <w:rPr>
          <w:sz w:val="22"/>
          <w:szCs w:val="22"/>
        </w:rPr>
        <w:t xml:space="preserve">A dedicated "Model Health" page in the Power BI report tracks these metrics over time so that drift (e.g., accuracy degrading as project mix changes) is caught early and triggers model retraining.</w:t>
      </w:r>
    </w:p>
    <w:p>
      <w:pPr>
        <w:pStyle w:val="Heading1"/>
        <w:spacing w:after="200" w:before="400"/>
      </w:pPr>
      <w:r>
        <w:t xml:space="preserve">9. Business Impact Analysis</w:t>
      </w:r>
    </w:p>
    <w:p>
      <w:pPr>
        <w:spacing w:after="160" w:line="276"/>
      </w:pPr>
      <w:r>
        <w:rPr>
          <w:sz w:val="22"/>
          <w:szCs w:val="22"/>
        </w:rPr>
        <w:t xml:space="preserve">When embedded into routine project reviews, the predictive dashboards are expected to deliver measurable value across four dimensions:</w:t>
      </w:r>
    </w:p>
    <w:p>
      <w:pPr>
        <w:pStyle w:val="Heading2"/>
        <w:spacing w:after="150" w:before="300"/>
      </w:pPr>
      <w:r>
        <w:t xml:space="preserve">9.1 Financial Impact</w:t>
      </w:r>
    </w:p>
    <w:p>
      <w:pPr>
        <w:pStyle w:val="ListParagraph"/>
        <w:numPr>
          <w:ilvl w:val="0"/>
          <w:numId w:val="2"/>
        </w:numPr>
        <w:spacing w:after="90"/>
      </w:pPr>
      <w:r>
        <w:rPr>
          <w:sz w:val="22"/>
          <w:szCs w:val="22"/>
        </w:rPr>
        <w:t xml:space="preserve">Earlier detection of budget overrun risk (weeks instead of months) allows corrective action — re-negotiating subcontracts, value engineering — while there is still schedule float to act.</w:t>
      </w:r>
    </w:p>
    <w:p>
      <w:pPr>
        <w:pStyle w:val="ListParagraph"/>
        <w:numPr>
          <w:ilvl w:val="0"/>
          <w:numId w:val="2"/>
        </w:numPr>
        <w:spacing w:after="90"/>
      </w:pPr>
      <w:r>
        <w:rPr>
          <w:sz w:val="22"/>
          <w:szCs w:val="22"/>
        </w:rPr>
        <w:t xml:space="preserve">Reduced contingency drawdown: portfolio-level visibility into overrun-prone projects lets finance teams reallocate contingency reserves more precisely instead of holding blanket buffers.</w:t>
      </w:r>
    </w:p>
    <w:p>
      <w:pPr>
        <w:pStyle w:val="Heading2"/>
        <w:spacing w:after="150" w:before="300"/>
      </w:pPr>
      <w:r>
        <w:t xml:space="preserve">9.2 Operational Impact</w:t>
      </w:r>
    </w:p>
    <w:p>
      <w:pPr>
        <w:pStyle w:val="ListParagraph"/>
        <w:numPr>
          <w:ilvl w:val="0"/>
          <w:numId w:val="2"/>
        </w:numPr>
        <w:spacing w:after="90"/>
      </w:pPr>
      <w:r>
        <w:rPr>
          <w:sz w:val="22"/>
          <w:szCs w:val="22"/>
        </w:rPr>
        <w:t xml:space="preserve">Resource forecasts allow proactive labour/equipment mobilization and procurement, reducing costly expediting fees and idle-crew time.</w:t>
      </w:r>
    </w:p>
    <w:p>
      <w:pPr>
        <w:pStyle w:val="ListParagraph"/>
        <w:numPr>
          <w:ilvl w:val="0"/>
          <w:numId w:val="2"/>
        </w:numPr>
        <w:spacing w:after="90"/>
      </w:pPr>
      <w:r>
        <w:rPr>
          <w:sz w:val="22"/>
          <w:szCs w:val="22"/>
        </w:rPr>
        <w:t xml:space="preserve">Delay-risk scoring focuses schedule-recovery effort on the tasks the model flags as high-impact, rather than spreading effort evenly across the whole schedule.</w:t>
      </w:r>
    </w:p>
    <w:p>
      <w:pPr>
        <w:pStyle w:val="Heading2"/>
        <w:spacing w:after="150" w:before="300"/>
      </w:pPr>
      <w:r>
        <w:t xml:space="preserve">9.3 Strategic / Decision-Making Impact</w:t>
      </w:r>
    </w:p>
    <w:p>
      <w:pPr>
        <w:pStyle w:val="ListParagraph"/>
        <w:numPr>
          <w:ilvl w:val="0"/>
          <w:numId w:val="2"/>
        </w:numPr>
        <w:spacing w:after="90"/>
      </w:pPr>
      <w:r>
        <w:rPr>
          <w:sz w:val="22"/>
          <w:szCs w:val="22"/>
        </w:rPr>
        <w:t xml:space="preserve">Portfolio-level risk visibility supports better bid/no-bid and resourcing decisions on future projects with similar risk profiles.</w:t>
      </w:r>
    </w:p>
    <w:p>
      <w:pPr>
        <w:pStyle w:val="ListParagraph"/>
        <w:numPr>
          <w:ilvl w:val="0"/>
          <w:numId w:val="2"/>
        </w:numPr>
        <w:spacing w:after="90"/>
      </w:pPr>
      <w:r>
        <w:rPr>
          <w:sz w:val="22"/>
          <w:szCs w:val="22"/>
        </w:rPr>
        <w:t xml:space="preserve">Historical model outputs build an organizational knowledge base of "what predicts overrun/delay in our projects", improving estimating accuracy over time.</w:t>
      </w:r>
    </w:p>
    <w:p>
      <w:pPr>
        <w:pStyle w:val="Heading2"/>
        <w:spacing w:after="150" w:before="300"/>
      </w:pPr>
      <w:r>
        <w:t xml:space="preserve">9.4 Client and Stakeholder Confidence</w:t>
      </w:r>
    </w:p>
    <w:p>
      <w:pPr>
        <w:pStyle w:val="ListParagraph"/>
        <w:numPr>
          <w:ilvl w:val="0"/>
          <w:numId w:val="2"/>
        </w:numPr>
        <w:spacing w:after="90"/>
      </w:pPr>
      <w:r>
        <w:rPr>
          <w:sz w:val="22"/>
          <w:szCs w:val="22"/>
        </w:rPr>
        <w:t xml:space="preserve">Transparent, data-backed forecasts (rather than gut-feel status reports) strengthen client trust and support more defensible change-order and claims discussions.</w:t>
      </w:r>
    </w:p>
    <w:p>
      <w:pPr>
        <w:pStyle w:val="Heading1"/>
        <w:spacing w:after="200" w:before="400"/>
      </w:pPr>
      <w:r>
        <w:t xml:space="preserve">10. Risk Mitigation Strategies</w:t>
      </w:r>
    </w:p>
    <w:p>
      <w:pPr>
        <w:spacing w:after="160" w:line="276"/>
      </w:pPr>
      <w:r>
        <w:rPr>
          <w:sz w:val="22"/>
          <w:szCs w:val="22"/>
        </w:rPr>
        <w:t xml:space="preserve">Deploying a predictive model into project decision-making introduces its own risks, which must be actively managed.</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400"/>
        <w:gridCol w:w="7600"/>
      </w:tblGrid>
      <w:tr>
        <w:trPr>
          <w:tblHeader/>
        </w:trPr>
        <w:tc>
          <w:tcPr>
            <w:tcW w:type="dxa" w:w="3400"/>
            <w:shd w:fill="1F3864" w:val="clear"/>
            <w:tcMar>
              <w:top w:type="dxa" w:w="80"/>
              <w:left w:type="dxa" w:w="100"/>
              <w:bottom w:type="dxa" w:w="80"/>
              <w:right w:type="dxa" w:w="100"/>
            </w:tcMar>
            <w:vAlign w:val="center"/>
          </w:tcPr>
          <w:p>
            <w:r>
              <w:rPr>
                <w:b/>
                <w:bCs/>
                <w:color w:val="FFFFFF"/>
                <w:sz w:val="20"/>
                <w:szCs w:val="20"/>
              </w:rPr>
              <w:t xml:space="preserve">Risk</w:t>
            </w:r>
          </w:p>
        </w:tc>
        <w:tc>
          <w:tcPr>
            <w:tcW w:type="dxa" w:w="7600"/>
            <w:shd w:fill="1F3864" w:val="clear"/>
            <w:tcMar>
              <w:top w:type="dxa" w:w="80"/>
              <w:left w:type="dxa" w:w="100"/>
              <w:bottom w:type="dxa" w:w="80"/>
              <w:right w:type="dxa" w:w="100"/>
            </w:tcMar>
            <w:vAlign w:val="center"/>
          </w:tcPr>
          <w:p>
            <w:r>
              <w:rPr>
                <w:b/>
                <w:bCs/>
                <w:color w:val="FFFFFF"/>
                <w:sz w:val="20"/>
                <w:szCs w:val="20"/>
              </w:rPr>
              <w:t xml:space="preserve">Mitigation Strategy</w:t>
            </w:r>
          </w:p>
        </w:tc>
      </w:tr>
      <w:tr>
        <w:tc>
          <w:tcPr>
            <w:tcW w:type="dxa" w:w="3400"/>
            <w:tcMar>
              <w:top w:type="dxa" w:w="80"/>
              <w:left w:type="dxa" w:w="100"/>
              <w:bottom w:type="dxa" w:w="80"/>
              <w:right w:type="dxa" w:w="100"/>
            </w:tcMar>
            <w:vAlign w:val="center"/>
          </w:tcPr>
          <w:p>
            <w:r>
              <w:rPr>
                <w:b w:val="false"/>
                <w:bCs w:val="false"/>
                <w:sz w:val="20"/>
                <w:szCs w:val="20"/>
              </w:rPr>
              <w:t xml:space="preserve">Poor data quality / incomplete history</w:t>
            </w:r>
          </w:p>
        </w:tc>
        <w:tc>
          <w:tcPr>
            <w:tcW w:type="dxa" w:w="7600"/>
            <w:tcMar>
              <w:top w:type="dxa" w:w="80"/>
              <w:left w:type="dxa" w:w="100"/>
              <w:bottom w:type="dxa" w:w="80"/>
              <w:right w:type="dxa" w:w="100"/>
            </w:tcMar>
            <w:vAlign w:val="center"/>
          </w:tcPr>
          <w:p>
            <w:r>
              <w:rPr>
                <w:b w:val="false"/>
                <w:bCs w:val="false"/>
                <w:sz w:val="20"/>
                <w:szCs w:val="20"/>
              </w:rPr>
              <w:t xml:space="preserve">Establish data-quality gates in Power Query (profiling, validation rules); require minimum historical sample size before trusting model output for a new project type.</w:t>
            </w:r>
          </w:p>
        </w:tc>
      </w:tr>
      <w:tr>
        <w:tc>
          <w:tcPr>
            <w:tcW w:type="dxa" w:w="3400"/>
            <w:tcMar>
              <w:top w:type="dxa" w:w="80"/>
              <w:left w:type="dxa" w:w="100"/>
              <w:bottom w:type="dxa" w:w="80"/>
              <w:right w:type="dxa" w:w="100"/>
            </w:tcMar>
            <w:vAlign w:val="center"/>
          </w:tcPr>
          <w:p>
            <w:r>
              <w:rPr>
                <w:b w:val="false"/>
                <w:bCs w:val="false"/>
                <w:sz w:val="20"/>
                <w:szCs w:val="20"/>
              </w:rPr>
              <w:t xml:space="preserve">Model overfitting to past projects</w:t>
            </w:r>
          </w:p>
        </w:tc>
        <w:tc>
          <w:tcPr>
            <w:tcW w:type="dxa" w:w="7600"/>
            <w:tcMar>
              <w:top w:type="dxa" w:w="80"/>
              <w:left w:type="dxa" w:w="100"/>
              <w:bottom w:type="dxa" w:w="80"/>
              <w:right w:type="dxa" w:w="100"/>
            </w:tcMar>
            <w:vAlign w:val="center"/>
          </w:tcPr>
          <w:p>
            <w:r>
              <w:rPr>
                <w:b w:val="false"/>
                <w:bCs w:val="false"/>
                <w:sz w:val="20"/>
                <w:szCs w:val="20"/>
              </w:rPr>
              <w:t xml:space="preserve">Hold out entire projects for validation (not rows); regularize models; monitor live performance against the Section 8 metrics.</w:t>
            </w:r>
          </w:p>
        </w:tc>
      </w:tr>
      <w:tr>
        <w:tc>
          <w:tcPr>
            <w:tcW w:type="dxa" w:w="3400"/>
            <w:tcMar>
              <w:top w:type="dxa" w:w="80"/>
              <w:left w:type="dxa" w:w="100"/>
              <w:bottom w:type="dxa" w:w="80"/>
              <w:right w:type="dxa" w:w="100"/>
            </w:tcMar>
            <w:vAlign w:val="center"/>
          </w:tcPr>
          <w:p>
            <w:r>
              <w:rPr>
                <w:b w:val="false"/>
                <w:bCs w:val="false"/>
                <w:sz w:val="20"/>
                <w:szCs w:val="20"/>
              </w:rPr>
              <w:t xml:space="preserve">Over-reliance on "black box" predictions</w:t>
            </w:r>
          </w:p>
        </w:tc>
        <w:tc>
          <w:tcPr>
            <w:tcW w:type="dxa" w:w="7600"/>
            <w:tcMar>
              <w:top w:type="dxa" w:w="80"/>
              <w:left w:type="dxa" w:w="100"/>
              <w:bottom w:type="dxa" w:w="80"/>
              <w:right w:type="dxa" w:w="100"/>
            </w:tcMar>
            <w:vAlign w:val="center"/>
          </w:tcPr>
          <w:p>
            <w:r>
              <w:rPr>
                <w:b w:val="false"/>
                <w:bCs w:val="false"/>
                <w:sz w:val="20"/>
                <w:szCs w:val="20"/>
              </w:rPr>
              <w:t xml:space="preserve">Pair every prediction with an explainability visual (Key Influencers, Decomposition Tree, SHAP values) so users understand "why", not just "what".</w:t>
            </w:r>
          </w:p>
        </w:tc>
      </w:tr>
      <w:tr>
        <w:tc>
          <w:tcPr>
            <w:tcW w:type="dxa" w:w="3400"/>
            <w:tcMar>
              <w:top w:type="dxa" w:w="80"/>
              <w:left w:type="dxa" w:w="100"/>
              <w:bottom w:type="dxa" w:w="80"/>
              <w:right w:type="dxa" w:w="100"/>
            </w:tcMar>
            <w:vAlign w:val="center"/>
          </w:tcPr>
          <w:p>
            <w:r>
              <w:rPr>
                <w:b w:val="false"/>
                <w:bCs w:val="false"/>
                <w:sz w:val="20"/>
                <w:szCs w:val="20"/>
              </w:rPr>
              <w:t xml:space="preserve">Alert fatigue from too-frequent risk flags</w:t>
            </w:r>
          </w:p>
        </w:tc>
        <w:tc>
          <w:tcPr>
            <w:tcW w:type="dxa" w:w="7600"/>
            <w:tcMar>
              <w:top w:type="dxa" w:w="80"/>
              <w:left w:type="dxa" w:w="100"/>
              <w:bottom w:type="dxa" w:w="80"/>
              <w:right w:type="dxa" w:w="100"/>
            </w:tcMar>
            <w:vAlign w:val="center"/>
          </w:tcPr>
          <w:p>
            <w:r>
              <w:rPr>
                <w:b w:val="false"/>
                <w:bCs w:val="false"/>
                <w:sz w:val="20"/>
                <w:szCs w:val="20"/>
              </w:rPr>
              <w:t xml:space="preserve">Calibrate probability thresholds using validation data; tier alerts (watch/action/escalate) instead of a single binary flag.</w:t>
            </w:r>
          </w:p>
        </w:tc>
      </w:tr>
      <w:tr>
        <w:tc>
          <w:tcPr>
            <w:tcW w:type="dxa" w:w="3400"/>
            <w:tcMar>
              <w:top w:type="dxa" w:w="80"/>
              <w:left w:type="dxa" w:w="100"/>
              <w:bottom w:type="dxa" w:w="80"/>
              <w:right w:type="dxa" w:w="100"/>
            </w:tcMar>
            <w:vAlign w:val="center"/>
          </w:tcPr>
          <w:p>
            <w:r>
              <w:rPr>
                <w:b w:val="false"/>
                <w:bCs w:val="false"/>
                <w:sz w:val="20"/>
                <w:szCs w:val="20"/>
              </w:rPr>
              <w:t xml:space="preserve">Bias toward project types over-represented in history</w:t>
            </w:r>
          </w:p>
        </w:tc>
        <w:tc>
          <w:tcPr>
            <w:tcW w:type="dxa" w:w="7600"/>
            <w:tcMar>
              <w:top w:type="dxa" w:w="80"/>
              <w:left w:type="dxa" w:w="100"/>
              <w:bottom w:type="dxa" w:w="80"/>
              <w:right w:type="dxa" w:w="100"/>
            </w:tcMar>
            <w:vAlign w:val="center"/>
          </w:tcPr>
          <w:p>
            <w:r>
              <w:rPr>
                <w:b w:val="false"/>
                <w:bCs w:val="false"/>
                <w:sz w:val="20"/>
                <w:szCs w:val="20"/>
              </w:rPr>
              <w:t xml:space="preserve">Track model performance by project segment (size, region, type) and flag segments with insufficient data as "low confidence".</w:t>
            </w:r>
          </w:p>
        </w:tc>
      </w:tr>
      <w:tr>
        <w:tc>
          <w:tcPr>
            <w:tcW w:type="dxa" w:w="3400"/>
            <w:tcMar>
              <w:top w:type="dxa" w:w="80"/>
              <w:left w:type="dxa" w:w="100"/>
              <w:bottom w:type="dxa" w:w="80"/>
              <w:right w:type="dxa" w:w="100"/>
            </w:tcMar>
            <w:vAlign w:val="center"/>
          </w:tcPr>
          <w:p>
            <w:r>
              <w:rPr>
                <w:b w:val="false"/>
                <w:bCs w:val="false"/>
                <w:sz w:val="20"/>
                <w:szCs w:val="20"/>
              </w:rPr>
              <w:t xml:space="preserve">Data privacy / commercial sensitivity</w:t>
            </w:r>
          </w:p>
        </w:tc>
        <w:tc>
          <w:tcPr>
            <w:tcW w:type="dxa" w:w="7600"/>
            <w:tcMar>
              <w:top w:type="dxa" w:w="80"/>
              <w:left w:type="dxa" w:w="100"/>
              <w:bottom w:type="dxa" w:w="80"/>
              <w:right w:type="dxa" w:w="100"/>
            </w:tcMar>
            <w:vAlign w:val="center"/>
          </w:tcPr>
          <w:p>
            <w:r>
              <w:rPr>
                <w:b w:val="false"/>
                <w:bCs w:val="false"/>
                <w:sz w:val="20"/>
                <w:szCs w:val="20"/>
              </w:rPr>
              <w:t xml:space="preserve">Apply row-level security in Power BI, restrict export permissions, and anonymize cross-project benchmarking data.</w:t>
            </w:r>
          </w:p>
        </w:tc>
      </w:tr>
      <w:tr>
        <w:tc>
          <w:tcPr>
            <w:tcW w:type="dxa" w:w="3400"/>
            <w:tcMar>
              <w:top w:type="dxa" w:w="80"/>
              <w:left w:type="dxa" w:w="100"/>
              <w:bottom w:type="dxa" w:w="80"/>
              <w:right w:type="dxa" w:w="100"/>
            </w:tcMar>
            <w:vAlign w:val="center"/>
          </w:tcPr>
          <w:p>
            <w:r>
              <w:rPr>
                <w:b w:val="false"/>
                <w:bCs w:val="false"/>
                <w:sz w:val="20"/>
                <w:szCs w:val="20"/>
              </w:rPr>
              <w:t xml:space="preserve">Change management / user adoption resistance</w:t>
            </w:r>
          </w:p>
        </w:tc>
        <w:tc>
          <w:tcPr>
            <w:tcW w:type="dxa" w:w="7600"/>
            <w:tcMar>
              <w:top w:type="dxa" w:w="80"/>
              <w:left w:type="dxa" w:w="100"/>
              <w:bottom w:type="dxa" w:w="80"/>
              <w:right w:type="dxa" w:w="100"/>
            </w:tcMar>
            <w:vAlign w:val="center"/>
          </w:tcPr>
          <w:p>
            <w:r>
              <w:rPr>
                <w:b w:val="false"/>
                <w:bCs w:val="false"/>
                <w:sz w:val="20"/>
                <w:szCs w:val="20"/>
              </w:rPr>
              <w:t xml:space="preserve">Run a pilot on 2–3 projects, involve project managers in defining thresholds, and pair the dashboard rollout with training sessions.</w:t>
            </w:r>
          </w:p>
        </w:tc>
      </w:tr>
    </w:tbl>
    <w:p>
      <w:pPr>
        <w:spacing w:after="160" w:line="276"/>
      </w:pPr>
      <w:r>
        <w:rPr>
          <w:sz w:val="22"/>
          <w:szCs w:val="22"/>
        </w:rPr>
        <w:t xml:space="preserve"/>
      </w:r>
    </w:p>
    <w:p>
      <w:pPr>
        <w:pStyle w:val="Heading1"/>
        <w:spacing w:after="200" w:before="400"/>
      </w:pPr>
      <w:r>
        <w:t xml:space="preserve">11. Limitations and Future Enhancements</w:t>
      </w:r>
    </w:p>
    <w:p>
      <w:pPr>
        <w:pStyle w:val="ListParagraph"/>
        <w:numPr>
          <w:ilvl w:val="0"/>
          <w:numId w:val="2"/>
        </w:numPr>
        <w:spacing w:after="90"/>
      </w:pPr>
      <w:r>
        <w:rPr>
          <w:sz w:val="22"/>
          <w:szCs w:val="22"/>
        </w:rPr>
        <w:t xml:space="preserve">Model quality is bounded by the completeness and consistency of historical project data; organizations with fragmented systems will need a data-consolidation phase before this model adds reliable value.</w:t>
      </w:r>
    </w:p>
    <w:p>
      <w:pPr>
        <w:pStyle w:val="ListParagraph"/>
        <w:numPr>
          <w:ilvl w:val="0"/>
          <w:numId w:val="2"/>
        </w:numPr>
        <w:spacing w:after="90"/>
      </w:pPr>
      <w:r>
        <w:rPr>
          <w:sz w:val="22"/>
          <w:szCs w:val="22"/>
        </w:rPr>
        <w:t xml:space="preserve">Power BI's native script-visual refresh limitations mean production-grade scoring should be run externally (Azure ML / Databricks) rather than inside the report itself.</w:t>
      </w:r>
    </w:p>
    <w:p>
      <w:pPr>
        <w:pStyle w:val="ListParagraph"/>
        <w:numPr>
          <w:ilvl w:val="0"/>
          <w:numId w:val="2"/>
        </w:numPr>
        <w:spacing w:after="90"/>
      </w:pPr>
      <w:r>
        <w:rPr>
          <w:sz w:val="22"/>
          <w:szCs w:val="22"/>
        </w:rPr>
        <w:t xml:space="preserve">Future enhancement: integrate real-time IoT sensor and drone/photogrammetry progress data for continuous re-forecasting rather than weekly batch updates.</w:t>
      </w:r>
    </w:p>
    <w:p>
      <w:pPr>
        <w:pStyle w:val="ListParagraph"/>
        <w:numPr>
          <w:ilvl w:val="0"/>
          <w:numId w:val="2"/>
        </w:numPr>
        <w:spacing w:after="90"/>
      </w:pPr>
      <w:r>
        <w:rPr>
          <w:sz w:val="22"/>
          <w:szCs w:val="22"/>
        </w:rPr>
        <w:t xml:space="preserve">Future enhancement: extend the classification models with causal inference techniques to move from "what predicts delay" to "what interventions reduce delay".</w:t>
      </w:r>
    </w:p>
    <w:p>
      <w:pPr>
        <w:pStyle w:val="Heading1"/>
        <w:spacing w:after="200" w:before="400"/>
      </w:pPr>
      <w:r>
        <w:t xml:space="preserve">12. Conclusion</w:t>
      </w:r>
    </w:p>
    <w:p>
      <w:pPr>
        <w:spacing w:after="160" w:line="276"/>
      </w:pPr>
      <w:r>
        <w:rPr>
          <w:sz w:val="22"/>
          <w:szCs w:val="22"/>
        </w:rPr>
        <w:t xml:space="preserve">This report has set out a complete, implementable methodology for bringing predictive analytics into a virtual construction environment through Power BI: from hypothesis-driven variable selection, through algorithm selection matched to each business question, to a concrete data-integration and dashboard workflow, and finally to the business impact and risk-mitigation thinking needed to make the model trustworthy in real project decisions. The approach deliberately blends Power BI's native forecasting and visual-analytics strengths with external statistical/machine-learning modeling where the business question demands it, giving project teams an early-warning system for budget overruns, resource shortfalls, and schedule delays that is transparent, auditable, and actionable.</w:t>
      </w:r>
    </w:p>
    <w:p>
      <w:pPr>
        <w:pStyle w:val="Heading1"/>
        <w:spacing w:after="200" w:before="400"/>
      </w:pPr>
      <w:r>
        <w:t xml:space="preserve">13. References</w:t>
      </w:r>
    </w:p>
    <w:p>
      <w:pPr>
        <w:spacing w:after="160" w:line="276"/>
      </w:pPr>
      <w:r>
        <w:rPr>
          <w:sz w:val="22"/>
          <w:szCs w:val="22"/>
        </w:rPr>
        <w:t xml:space="preserve">Note: the sources below reflect standard, publicly documented references for the platforms, techniques, and industry benchmarks discussed in this report. Replace with organization-specific citations where available.</w:t>
      </w:r>
    </w:p>
    <w:p>
      <w:pPr>
        <w:pStyle w:val="ListParagraph"/>
        <w:numPr>
          <w:ilvl w:val="0"/>
          <w:numId w:val="2"/>
        </w:numPr>
        <w:spacing w:after="90"/>
      </w:pPr>
      <w:r>
        <w:rPr>
          <w:sz w:val="22"/>
          <w:szCs w:val="22"/>
        </w:rPr>
        <w:t xml:space="preserve">Microsoft Learn — Power BI documentation: Forecasting, Key Influencers visual, Decomposition Tree, Python/R script visuals, AI Insights.</w:t>
      </w:r>
    </w:p>
    <w:p>
      <w:pPr>
        <w:pStyle w:val="ListParagraph"/>
        <w:numPr>
          <w:ilvl w:val="0"/>
          <w:numId w:val="2"/>
        </w:numPr>
        <w:spacing w:after="90"/>
      </w:pPr>
      <w:r>
        <w:rPr>
          <w:sz w:val="22"/>
          <w:szCs w:val="22"/>
        </w:rPr>
        <w:t xml:space="preserve">Microsoft Learn — Power BI + Azure Machine Learning integration guidance.</w:t>
      </w:r>
    </w:p>
    <w:p>
      <w:pPr>
        <w:pStyle w:val="ListParagraph"/>
        <w:numPr>
          <w:ilvl w:val="0"/>
          <w:numId w:val="2"/>
        </w:numPr>
        <w:spacing w:after="90"/>
      </w:pPr>
      <w:r>
        <w:rPr>
          <w:sz w:val="22"/>
          <w:szCs w:val="22"/>
        </w:rPr>
        <w:t xml:space="preserve">Hyndman, R.J. &amp; Athanasopoulos, G. — "Forecasting: Principles and Practice" (time-series methodology reference: ARIMA, exponential smoothing).</w:t>
      </w:r>
    </w:p>
    <w:p>
      <w:pPr>
        <w:pStyle w:val="ListParagraph"/>
        <w:numPr>
          <w:ilvl w:val="0"/>
          <w:numId w:val="2"/>
        </w:numPr>
        <w:spacing w:after="90"/>
      </w:pPr>
      <w:r>
        <w:rPr>
          <w:sz w:val="22"/>
          <w:szCs w:val="22"/>
        </w:rPr>
        <w:t xml:space="preserve">Project Management Institute (PMI) — Earned Value Management and Construction Extension to the PMBOK Guide.</w:t>
      </w:r>
    </w:p>
    <w:p>
      <w:pPr>
        <w:pStyle w:val="ListParagraph"/>
        <w:numPr>
          <w:ilvl w:val="0"/>
          <w:numId w:val="2"/>
        </w:numPr>
        <w:spacing w:after="90"/>
      </w:pPr>
      <w:r>
        <w:rPr>
          <w:sz w:val="22"/>
          <w:szCs w:val="22"/>
        </w:rPr>
        <w:t xml:space="preserve">KPMG / McKinsey global capital-projects benchmarking studies on construction cost and schedule overrun rates.</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Predictive Analytics in Virtual Construction | Week 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300"/>
      </w:pPr>
    </w:lvl>
    <w:lvl w:ilvl="1" w15:tentative="1">
      <w:start w:val="1"/>
      <w:numFmt w:val="lowerLetter"/>
      <w:lvlText w:val="%2."/>
      <w:lvlJc w:val="left"/>
      <w:pPr>
        <w:ind w:left="9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50" w:before="30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2026-09-26T15:28:34.651Z</dcterms:created>
  <dcterms:modified xsi:type="dcterms:W3CDTF">2026-09-26T15:28:34.652Z</dcterms:modified>
</cp:coreProperties>
</file>

<file path=docProps/custom.xml><?xml version="1.0" encoding="utf-8"?>
<Properties xmlns="http://schemas.openxmlformats.org/officeDocument/2006/custom-properties" xmlns:vt="http://schemas.openxmlformats.org/officeDocument/2006/docPropsVTypes"/>
</file>