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48"/>
          <w:szCs w:val="48"/>
        </w:rPr>
        <w:t xml:space="preserve">DATA SOURCING, IMPORT &amp;</w:t>
      </w:r>
    </w:p>
    <w:p>
      <w:pPr>
        <w:spacing w:after="200"/>
        <w:jc w:val="center"/>
      </w:pPr>
      <w:r>
        <w:rPr>
          <w:b/>
          <w:bCs/>
          <w:color w:val="1F3864"/>
          <w:sz w:val="48"/>
          <w:szCs w:val="48"/>
        </w:rPr>
        <w:t xml:space="preserve">TRANSFORMATION</w:t>
      </w:r>
    </w:p>
    <w:p>
      <w:pPr>
        <w:spacing w:after="400"/>
        <w:jc w:val="center"/>
      </w:pPr>
      <w:r>
        <w:rPr>
          <w:b/>
          <w:bCs/>
          <w:color w:val="2E74B5"/>
          <w:sz w:val="30"/>
          <w:szCs w:val="30"/>
        </w:rPr>
        <w:t xml:space="preserve">A Power BI Data Pipeline for Construction Metrics</w:t>
      </w:r>
    </w:p>
    <w:p>
      <w:pPr>
        <w:spacing w:after="100"/>
        <w:jc w:val="center"/>
      </w:pPr>
      <w:r>
        <w:rPr>
          <w:i/>
          <w:iCs/>
          <w:color w:val="595959"/>
          <w:sz w:val="22"/>
          <w:szCs w:val="22"/>
        </w:rPr>
        <w:t xml:space="preserve">Cost Management · Labor Productivity · Project Timelines</w:t>
      </w:r>
    </w:p>
    <w:p>
      <w:pPr>
        <w:spacing w:after="60" w:before="1200"/>
        <w:jc w:val="center"/>
      </w:pPr>
      <w:r>
        <w:rPr>
          <w:sz w:val="22"/>
          <w:szCs w:val="22"/>
        </w:rPr>
        <w:t xml:space="preserve">Prepared by: Harsh Mishra</w:t>
      </w:r>
    </w:p>
    <w:p>
      <w:pPr>
        <w:spacing w:after="60"/>
        <w:jc w:val="center"/>
      </w:pPr>
      <w:r>
        <w:rPr>
          <w:sz w:val="22"/>
          <w:szCs w:val="22"/>
        </w:rPr>
        <w:t xml:space="preserve">Week 2 Task — Virtual Construction Business Intelligence Internship</w:t>
      </w:r>
    </w:p>
    <w:p>
      <w:pPr>
        <w:spacing w:after="60"/>
        <w:jc w:val="center"/>
      </w:pPr>
      <w:r>
        <w:rPr>
          <w:color w:val="595959"/>
          <w:sz w:val="22"/>
          <w:szCs w:val="22"/>
        </w:rPr>
        <w:t xml:space="preserve">September 2026</w:t>
      </w:r>
    </w:p>
    <w:p>
      <w:r>
        <w:br w:type="page"/>
      </w:r>
    </w:p>
    <w:p>
      <w:pPr>
        <w:pStyle w:val="Heading1"/>
        <w:pBdr>
          <w:bottom w:val="single" w:color="2E74B5" w:sz="6" w:space="4"/>
        </w:pBdr>
        <w:spacing w:after="160" w:before="360"/>
      </w:pPr>
      <w:r>
        <w:rPr>
          <w:b/>
          <w:bCs/>
          <w:color w:val="1F3864"/>
          <w:sz w:val="30"/>
          <w:szCs w:val="30"/>
        </w:rPr>
        <w:t xml:space="preserve">1. Executive Summary</w:t>
      </w:r>
    </w:p>
    <w:p>
      <w:pPr>
        <w:spacing w:after="160" w:line="300"/>
        <w:jc w:val="both"/>
      </w:pPr>
      <w:r>
        <w:rPr>
          <w:sz w:val="21"/>
          <w:szCs w:val="21"/>
        </w:rPr>
        <w:t xml:space="preserve">This document describes an end-to-end, replicable process for sourcing, importing, cleansing, and transforming publicly available construction-industry data for use in Power BI. It builds directly on the Week 1 strategic plan, translating the KPI framework defined there (cost, schedule, productivity, and safety metrics) into a concrete data pipeline that uses only free, publicly accessible datasets — no proprietary or licensed data is used at any stage.</w:t>
      </w:r>
    </w:p>
    <w:p>
      <w:pPr>
        <w:spacing w:after="160" w:line="300"/>
        <w:jc w:val="both"/>
      </w:pPr>
      <w:r>
        <w:rPr>
          <w:sz w:val="21"/>
          <w:szCs w:val="21"/>
        </w:rPr>
        <w:t xml:space="preserve">The report covers four stages: identifying suitable public data sources, importing them into Power BI in their native formats using Power Query, cleansing and transforming the data (handling missing values, standardising units and categories, and joining data from different sources), and finally documenting the practical challenges encountered along the way together with the mitigation strategies used.</w:t>
      </w:r>
    </w:p>
    <w:p>
      <w:pPr>
        <w:pStyle w:val="Heading1"/>
        <w:pBdr>
          <w:bottom w:val="single" w:color="2E74B5" w:sz="6" w:space="4"/>
        </w:pBdr>
        <w:spacing w:after="160" w:before="360"/>
      </w:pPr>
      <w:r>
        <w:rPr>
          <w:b/>
          <w:bCs/>
          <w:color w:val="1F3864"/>
          <w:sz w:val="30"/>
          <w:szCs w:val="30"/>
        </w:rPr>
        <w:t xml:space="preserve">2. Data Sourcing</w:t>
      </w:r>
    </w:p>
    <w:p>
      <w:pPr>
        <w:spacing w:after="160" w:line="300"/>
        <w:jc w:val="both"/>
      </w:pPr>
      <w:r>
        <w:rPr>
          <w:sz w:val="21"/>
          <w:szCs w:val="21"/>
        </w:rPr>
        <w:t xml:space="preserve">Public-sector statistical agencies and open-data portals publish a wide range of construction-relevant series. The sources below were selected because they are free, updated on a recurring schedule, and collectively cover the three metric families identified in the Week 1 KPI framework: cost management, labour productivity, and project timelines.</w:t>
      </w:r>
    </w:p>
    <w:p>
      <w:pPr>
        <w:pStyle w:val="Heading2"/>
        <w:spacing w:after="120" w:before="260"/>
      </w:pPr>
      <w:r>
        <w:rPr>
          <w:b/>
          <w:bCs/>
          <w:color w:val="2E74B5"/>
          <w:sz w:val="24"/>
          <w:szCs w:val="24"/>
        </w:rPr>
        <w:t xml:space="preserve">2.1 Cost Management Data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2700"/>
      </w:tblGrid>
      <w:tr>
        <w:tc>
          <w:tcPr>
            <w:tcW w:type="dxa" w:w="2600"/>
            <w:shd w:fill="1F3864" w:val="clear"/>
            <w:tcMar>
              <w:top w:type="dxa" w:w="80"/>
              <w:left w:type="dxa" w:w="100"/>
              <w:bottom w:type="dxa" w:w="80"/>
              <w:right w:type="dxa" w:w="100"/>
            </w:tcMar>
            <w:vAlign w:val="center"/>
          </w:tcPr>
          <w:p>
            <w:r>
              <w:rPr>
                <w:b/>
                <w:bCs/>
                <w:color w:val="FFFFFF"/>
                <w:sz w:val="20"/>
                <w:szCs w:val="20"/>
              </w:rPr>
              <w:t xml:space="preserve">Source</w:t>
            </w:r>
          </w:p>
        </w:tc>
        <w:tc>
          <w:tcPr>
            <w:tcW w:type="dxa" w:w="2200"/>
            <w:shd w:fill="1F3864" w:val="clear"/>
            <w:tcMar>
              <w:top w:type="dxa" w:w="80"/>
              <w:left w:type="dxa" w:w="100"/>
              <w:bottom w:type="dxa" w:w="80"/>
              <w:right w:type="dxa" w:w="100"/>
            </w:tcMar>
            <w:vAlign w:val="center"/>
          </w:tcPr>
          <w:p>
            <w:r>
              <w:rPr>
                <w:b/>
                <w:bCs/>
                <w:color w:val="FFFFFF"/>
                <w:sz w:val="20"/>
                <w:szCs w:val="20"/>
              </w:rPr>
              <w:t xml:space="preserve">Publisher</w:t>
            </w:r>
          </w:p>
        </w:tc>
        <w:tc>
          <w:tcPr>
            <w:tcW w:type="dxa" w:w="2400"/>
            <w:shd w:fill="1F3864" w:val="clear"/>
            <w:tcMar>
              <w:top w:type="dxa" w:w="80"/>
              <w:left w:type="dxa" w:w="100"/>
              <w:bottom w:type="dxa" w:w="80"/>
              <w:right w:type="dxa" w:w="100"/>
            </w:tcMar>
            <w:vAlign w:val="center"/>
          </w:tcPr>
          <w:p>
            <w:r>
              <w:rPr>
                <w:b/>
                <w:bCs/>
                <w:color w:val="FFFFFF"/>
                <w:sz w:val="20"/>
                <w:szCs w:val="20"/>
              </w:rPr>
              <w:t xml:space="preserve">Format / Access</w:t>
            </w:r>
          </w:p>
        </w:tc>
        <w:tc>
          <w:tcPr>
            <w:tcW w:type="dxa" w:w="2700"/>
            <w:shd w:fill="1F3864" w:val="clear"/>
            <w:tcMar>
              <w:top w:type="dxa" w:w="80"/>
              <w:left w:type="dxa" w:w="100"/>
              <w:bottom w:type="dxa" w:w="80"/>
              <w:right w:type="dxa" w:w="100"/>
            </w:tcMar>
            <w:vAlign w:val="center"/>
          </w:tcPr>
          <w:p>
            <w:r>
              <w:rPr>
                <w:b/>
                <w:bCs/>
                <w:color w:val="FFFFFF"/>
                <w:sz w:val="20"/>
                <w:szCs w:val="20"/>
              </w:rPr>
              <w:t xml:space="preserve">Relevant Metrics</w:t>
            </w:r>
          </w:p>
        </w:tc>
      </w:tr>
      <w:tr>
        <w:tc>
          <w:tcPr>
            <w:tcW w:type="dxa" w:w="2600"/>
            <w:shd w:fill="F2F6FA" w:val="clear"/>
            <w:tcMar>
              <w:top w:type="dxa" w:w="80"/>
              <w:left w:type="dxa" w:w="100"/>
              <w:bottom w:type="dxa" w:w="80"/>
              <w:right w:type="dxa" w:w="100"/>
            </w:tcMar>
            <w:vAlign w:val="center"/>
          </w:tcPr>
          <w:p>
            <w:r>
              <w:rPr>
                <w:b w:val="false"/>
                <w:bCs w:val="false"/>
                <w:color w:val="000000"/>
                <w:sz w:val="20"/>
                <w:szCs w:val="20"/>
              </w:rPr>
              <w:t xml:space="preserve">Construction Spending Survey</w:t>
            </w:r>
          </w:p>
        </w:tc>
        <w:tc>
          <w:tcPr>
            <w:tcW w:type="dxa" w:w="2200"/>
            <w:shd w:fill="F2F6FA" w:val="clear"/>
            <w:tcMar>
              <w:top w:type="dxa" w:w="80"/>
              <w:left w:type="dxa" w:w="100"/>
              <w:bottom w:type="dxa" w:w="80"/>
              <w:right w:type="dxa" w:w="100"/>
            </w:tcMar>
            <w:vAlign w:val="center"/>
          </w:tcPr>
          <w:p>
            <w:r>
              <w:rPr>
                <w:b w:val="false"/>
                <w:bCs w:val="false"/>
                <w:color w:val="000000"/>
                <w:sz w:val="20"/>
                <w:szCs w:val="20"/>
              </w:rPr>
              <w:t xml:space="preserve">U.S. Census Bureau</w:t>
            </w:r>
          </w:p>
        </w:tc>
        <w:tc>
          <w:tcPr>
            <w:tcW w:type="dxa" w:w="2400"/>
            <w:shd w:fill="F2F6FA" w:val="clear"/>
            <w:tcMar>
              <w:top w:type="dxa" w:w="80"/>
              <w:left w:type="dxa" w:w="100"/>
              <w:bottom w:type="dxa" w:w="80"/>
              <w:right w:type="dxa" w:w="100"/>
            </w:tcMar>
            <w:vAlign w:val="center"/>
          </w:tcPr>
          <w:p>
            <w:r>
              <w:rPr>
                <w:b w:val="false"/>
                <w:bCs w:val="false"/>
                <w:color w:val="000000"/>
                <w:sz w:val="20"/>
                <w:szCs w:val="20"/>
              </w:rPr>
              <w:t xml:space="preserve">CSV / XLSX, monthly release, data.census.gov</w:t>
            </w:r>
          </w:p>
        </w:tc>
        <w:tc>
          <w:tcPr>
            <w:tcW w:type="dxa" w:w="2700"/>
            <w:shd w:fill="F2F6FA" w:val="clear"/>
            <w:tcMar>
              <w:top w:type="dxa" w:w="80"/>
              <w:left w:type="dxa" w:w="100"/>
              <w:bottom w:type="dxa" w:w="80"/>
              <w:right w:type="dxa" w:w="100"/>
            </w:tcMar>
            <w:vAlign w:val="center"/>
          </w:tcPr>
          <w:p>
            <w:r>
              <w:rPr>
                <w:b w:val="false"/>
                <w:bCs w:val="false"/>
                <w:color w:val="000000"/>
                <w:sz w:val="20"/>
                <w:szCs w:val="20"/>
              </w:rPr>
              <w:t xml:space="preserve">Total construction put in place, by residential/non-residential/public segment</w:t>
            </w:r>
          </w:p>
        </w:tc>
      </w:tr>
      <w:tr>
        <w:tc>
          <w:tcPr>
            <w:tcW w:type="dxa" w:w="2600"/>
            <w:shd w:fill="F2F6FA" w:val="clear"/>
            <w:tcMar>
              <w:top w:type="dxa" w:w="80"/>
              <w:left w:type="dxa" w:w="100"/>
              <w:bottom w:type="dxa" w:w="80"/>
              <w:right w:type="dxa" w:w="100"/>
            </w:tcMar>
            <w:vAlign w:val="center"/>
          </w:tcPr>
          <w:p>
            <w:r>
              <w:rPr>
                <w:b w:val="false"/>
                <w:bCs w:val="false"/>
                <w:color w:val="000000"/>
                <w:sz w:val="20"/>
                <w:szCs w:val="20"/>
              </w:rPr>
              <w:t xml:space="preserve">Producer Price Index — Construction</w:t>
            </w:r>
          </w:p>
        </w:tc>
        <w:tc>
          <w:tcPr>
            <w:tcW w:type="dxa" w:w="2200"/>
            <w:shd w:fill="F2F6FA" w:val="clear"/>
            <w:tcMar>
              <w:top w:type="dxa" w:w="80"/>
              <w:left w:type="dxa" w:w="100"/>
              <w:bottom w:type="dxa" w:w="80"/>
              <w:right w:type="dxa" w:w="100"/>
            </w:tcMar>
            <w:vAlign w:val="center"/>
          </w:tcPr>
          <w:p>
            <w:r>
              <w:rPr>
                <w:b w:val="false"/>
                <w:bCs w:val="false"/>
                <w:color w:val="000000"/>
                <w:sz w:val="20"/>
                <w:szCs w:val="20"/>
              </w:rPr>
              <w:t xml:space="preserve">U.S. Bureau of Labor Statistics (BLS)</w:t>
            </w:r>
          </w:p>
        </w:tc>
        <w:tc>
          <w:tcPr>
            <w:tcW w:type="dxa" w:w="2400"/>
            <w:shd w:fill="F2F6FA" w:val="clear"/>
            <w:tcMar>
              <w:top w:type="dxa" w:w="80"/>
              <w:left w:type="dxa" w:w="100"/>
              <w:bottom w:type="dxa" w:w="80"/>
              <w:right w:type="dxa" w:w="100"/>
            </w:tcMar>
            <w:vAlign w:val="center"/>
          </w:tcPr>
          <w:p>
            <w:r>
              <w:rPr>
                <w:b w:val="false"/>
                <w:bCs w:val="false"/>
                <w:color w:val="000000"/>
                <w:sz w:val="20"/>
                <w:szCs w:val="20"/>
              </w:rPr>
              <w:t xml:space="preserve">CSV / API (BLS Public Data API)</w:t>
            </w:r>
          </w:p>
        </w:tc>
        <w:tc>
          <w:tcPr>
            <w:tcW w:type="dxa" w:w="2700"/>
            <w:shd w:fill="F2F6FA" w:val="clear"/>
            <w:tcMar>
              <w:top w:type="dxa" w:w="80"/>
              <w:left w:type="dxa" w:w="100"/>
              <w:bottom w:type="dxa" w:w="80"/>
              <w:right w:type="dxa" w:w="100"/>
            </w:tcMar>
            <w:vAlign w:val="center"/>
          </w:tcPr>
          <w:p>
            <w:r>
              <w:rPr>
                <w:b w:val="false"/>
                <w:bCs w:val="false"/>
                <w:color w:val="000000"/>
                <w:sz w:val="20"/>
                <w:szCs w:val="20"/>
              </w:rPr>
              <w:t xml:space="preserve">Input material and construction-cost inflation indices</w:t>
            </w:r>
          </w:p>
        </w:tc>
      </w:tr>
      <w:tr>
        <w:tc>
          <w:tcPr>
            <w:tcW w:type="dxa" w:w="2600"/>
            <w:shd w:fill="F2F6FA" w:val="clear"/>
            <w:tcMar>
              <w:top w:type="dxa" w:w="80"/>
              <w:left w:type="dxa" w:w="100"/>
              <w:bottom w:type="dxa" w:w="80"/>
              <w:right w:type="dxa" w:w="100"/>
            </w:tcMar>
            <w:vAlign w:val="center"/>
          </w:tcPr>
          <w:p>
            <w:r>
              <w:rPr>
                <w:b w:val="false"/>
                <w:bCs w:val="false"/>
                <w:color w:val="000000"/>
                <w:sz w:val="20"/>
                <w:szCs w:val="20"/>
              </w:rPr>
              <w:t xml:space="preserve">Federal Procurement Data System (FPDS-NG) construction contracts extract</w:t>
            </w:r>
          </w:p>
        </w:tc>
        <w:tc>
          <w:tcPr>
            <w:tcW w:type="dxa" w:w="2200"/>
            <w:shd w:fill="F2F6FA" w:val="clear"/>
            <w:tcMar>
              <w:top w:type="dxa" w:w="80"/>
              <w:left w:type="dxa" w:w="100"/>
              <w:bottom w:type="dxa" w:w="80"/>
              <w:right w:type="dxa" w:w="100"/>
            </w:tcMar>
            <w:vAlign w:val="center"/>
          </w:tcPr>
          <w:p>
            <w:r>
              <w:rPr>
                <w:b w:val="false"/>
                <w:bCs w:val="false"/>
                <w:color w:val="000000"/>
                <w:sz w:val="20"/>
                <w:szCs w:val="20"/>
              </w:rPr>
              <w:t xml:space="preserve">U.S. Department of Defense / Data in Brief</w:t>
            </w:r>
          </w:p>
        </w:tc>
        <w:tc>
          <w:tcPr>
            <w:tcW w:type="dxa" w:w="2400"/>
            <w:shd w:fill="F2F6FA" w:val="clear"/>
            <w:tcMar>
              <w:top w:type="dxa" w:w="80"/>
              <w:left w:type="dxa" w:w="100"/>
              <w:bottom w:type="dxa" w:w="80"/>
              <w:right w:type="dxa" w:w="100"/>
            </w:tcMar>
            <w:vAlign w:val="center"/>
          </w:tcPr>
          <w:p>
            <w:r>
              <w:rPr>
                <w:b w:val="false"/>
                <w:bCs w:val="false"/>
                <w:color w:val="000000"/>
                <w:sz w:val="20"/>
                <w:szCs w:val="20"/>
              </w:rPr>
              <w:t xml:space="preserve">CSV, open-access research dataset</w:t>
            </w:r>
          </w:p>
        </w:tc>
        <w:tc>
          <w:tcPr>
            <w:tcW w:type="dxa" w:w="2700"/>
            <w:shd w:fill="F2F6FA" w:val="clear"/>
            <w:tcMar>
              <w:top w:type="dxa" w:w="80"/>
              <w:left w:type="dxa" w:w="100"/>
              <w:bottom w:type="dxa" w:w="80"/>
              <w:right w:type="dxa" w:w="100"/>
            </w:tcMar>
            <w:vAlign w:val="center"/>
          </w:tcPr>
          <w:p>
            <w:r>
              <w:rPr>
                <w:b w:val="false"/>
                <w:bCs w:val="false"/>
                <w:color w:val="000000"/>
                <w:sz w:val="20"/>
                <w:szCs w:val="20"/>
              </w:rPr>
              <w:t xml:space="preserve">Contract award value, cost growth, construction/delivery type across 130,000+ projects</w:t>
            </w:r>
          </w:p>
        </w:tc>
      </w:tr>
      <w:tr>
        <w:tc>
          <w:tcPr>
            <w:tcW w:type="dxa" w:w="2600"/>
            <w:shd w:fill="F2F6FA" w:val="clear"/>
            <w:tcMar>
              <w:top w:type="dxa" w:w="80"/>
              <w:left w:type="dxa" w:w="100"/>
              <w:bottom w:type="dxa" w:w="80"/>
              <w:right w:type="dxa" w:w="100"/>
            </w:tcMar>
            <w:vAlign w:val="center"/>
          </w:tcPr>
          <w:p>
            <w:r>
              <w:rPr>
                <w:b w:val="false"/>
                <w:bCs w:val="false"/>
                <w:color w:val="000000"/>
                <w:sz w:val="20"/>
                <w:szCs w:val="20"/>
              </w:rPr>
              <w:t xml:space="preserve">Output in the Construction Industry</w:t>
            </w:r>
          </w:p>
        </w:tc>
        <w:tc>
          <w:tcPr>
            <w:tcW w:type="dxa" w:w="2200"/>
            <w:shd w:fill="F2F6FA" w:val="clear"/>
            <w:tcMar>
              <w:top w:type="dxa" w:w="80"/>
              <w:left w:type="dxa" w:w="100"/>
              <w:bottom w:type="dxa" w:w="80"/>
              <w:right w:type="dxa" w:w="100"/>
            </w:tcMar>
            <w:vAlign w:val="center"/>
          </w:tcPr>
          <w:p>
            <w:r>
              <w:rPr>
                <w:b w:val="false"/>
                <w:bCs w:val="false"/>
                <w:color w:val="000000"/>
                <w:sz w:val="20"/>
                <w:szCs w:val="20"/>
              </w:rPr>
              <w:t xml:space="preserve">UK Office for National Statistics (data.gov.uk)</w:t>
            </w:r>
          </w:p>
        </w:tc>
        <w:tc>
          <w:tcPr>
            <w:tcW w:type="dxa" w:w="2400"/>
            <w:shd w:fill="F2F6FA" w:val="clear"/>
            <w:tcMar>
              <w:top w:type="dxa" w:w="80"/>
              <w:left w:type="dxa" w:w="100"/>
              <w:bottom w:type="dxa" w:w="80"/>
              <w:right w:type="dxa" w:w="100"/>
            </w:tcMar>
            <w:vAlign w:val="center"/>
          </w:tcPr>
          <w:p>
            <w:r>
              <w:rPr>
                <w:b w:val="false"/>
                <w:bCs w:val="false"/>
                <w:color w:val="000000"/>
                <w:sz w:val="20"/>
                <w:szCs w:val="20"/>
              </w:rPr>
              <w:t xml:space="preserve">CSV / XLSX, quarterly</w:t>
            </w:r>
          </w:p>
        </w:tc>
        <w:tc>
          <w:tcPr>
            <w:tcW w:type="dxa" w:w="2700"/>
            <w:shd w:fill="F2F6FA" w:val="clear"/>
            <w:tcMar>
              <w:top w:type="dxa" w:w="80"/>
              <w:left w:type="dxa" w:w="100"/>
              <w:bottom w:type="dxa" w:w="80"/>
              <w:right w:type="dxa" w:w="100"/>
            </w:tcMar>
            <w:vAlign w:val="center"/>
          </w:tcPr>
          <w:p>
            <w:r>
              <w:rPr>
                <w:b w:val="false"/>
                <w:bCs w:val="false"/>
                <w:color w:val="000000"/>
                <w:sz w:val="20"/>
                <w:szCs w:val="20"/>
              </w:rPr>
              <w:t xml:space="preserve">Construction output value, new work vs. repair &amp; maintenance</w:t>
            </w:r>
          </w:p>
        </w:tc>
      </w:tr>
    </w:tbl>
    <w:p>
      <w:pPr>
        <w:pStyle w:val="Heading2"/>
        <w:spacing w:after="120" w:before="260"/>
      </w:pPr>
      <w:r>
        <w:rPr>
          <w:b/>
          <w:bCs/>
          <w:color w:val="2E74B5"/>
          <w:sz w:val="24"/>
          <w:szCs w:val="24"/>
        </w:rPr>
        <w:t xml:space="preserve">2.2 Labour Productivity Data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2700"/>
      </w:tblGrid>
      <w:tr>
        <w:tc>
          <w:tcPr>
            <w:tcW w:type="dxa" w:w="2600"/>
            <w:shd w:fill="1F3864" w:val="clear"/>
            <w:tcMar>
              <w:top w:type="dxa" w:w="80"/>
              <w:left w:type="dxa" w:w="100"/>
              <w:bottom w:type="dxa" w:w="80"/>
              <w:right w:type="dxa" w:w="100"/>
            </w:tcMar>
            <w:vAlign w:val="center"/>
          </w:tcPr>
          <w:p>
            <w:r>
              <w:rPr>
                <w:b/>
                <w:bCs/>
                <w:color w:val="FFFFFF"/>
                <w:sz w:val="20"/>
                <w:szCs w:val="20"/>
              </w:rPr>
              <w:t xml:space="preserve">Source</w:t>
            </w:r>
          </w:p>
        </w:tc>
        <w:tc>
          <w:tcPr>
            <w:tcW w:type="dxa" w:w="2200"/>
            <w:shd w:fill="1F3864" w:val="clear"/>
            <w:tcMar>
              <w:top w:type="dxa" w:w="80"/>
              <w:left w:type="dxa" w:w="100"/>
              <w:bottom w:type="dxa" w:w="80"/>
              <w:right w:type="dxa" w:w="100"/>
            </w:tcMar>
            <w:vAlign w:val="center"/>
          </w:tcPr>
          <w:p>
            <w:r>
              <w:rPr>
                <w:b/>
                <w:bCs/>
                <w:color w:val="FFFFFF"/>
                <w:sz w:val="20"/>
                <w:szCs w:val="20"/>
              </w:rPr>
              <w:t xml:space="preserve">Publisher</w:t>
            </w:r>
          </w:p>
        </w:tc>
        <w:tc>
          <w:tcPr>
            <w:tcW w:type="dxa" w:w="2400"/>
            <w:shd w:fill="1F3864" w:val="clear"/>
            <w:tcMar>
              <w:top w:type="dxa" w:w="80"/>
              <w:left w:type="dxa" w:w="100"/>
              <w:bottom w:type="dxa" w:w="80"/>
              <w:right w:type="dxa" w:w="100"/>
            </w:tcMar>
            <w:vAlign w:val="center"/>
          </w:tcPr>
          <w:p>
            <w:r>
              <w:rPr>
                <w:b/>
                <w:bCs/>
                <w:color w:val="FFFFFF"/>
                <w:sz w:val="20"/>
                <w:szCs w:val="20"/>
              </w:rPr>
              <w:t xml:space="preserve">Format / Access</w:t>
            </w:r>
          </w:p>
        </w:tc>
        <w:tc>
          <w:tcPr>
            <w:tcW w:type="dxa" w:w="2700"/>
            <w:shd w:fill="1F3864" w:val="clear"/>
            <w:tcMar>
              <w:top w:type="dxa" w:w="80"/>
              <w:left w:type="dxa" w:w="100"/>
              <w:bottom w:type="dxa" w:w="80"/>
              <w:right w:type="dxa" w:w="100"/>
            </w:tcMar>
            <w:vAlign w:val="center"/>
          </w:tcPr>
          <w:p>
            <w:r>
              <w:rPr>
                <w:b/>
                <w:bCs/>
                <w:color w:val="FFFFFF"/>
                <w:sz w:val="20"/>
                <w:szCs w:val="20"/>
              </w:rPr>
              <w:t xml:space="preserve">Relevant Metrics</w:t>
            </w:r>
          </w:p>
        </w:tc>
      </w:tr>
      <w:tr>
        <w:tc>
          <w:tcPr>
            <w:tcW w:type="dxa" w:w="2600"/>
            <w:shd w:fill="F2F6FA" w:val="clear"/>
            <w:tcMar>
              <w:top w:type="dxa" w:w="80"/>
              <w:left w:type="dxa" w:w="100"/>
              <w:bottom w:type="dxa" w:w="80"/>
              <w:right w:type="dxa" w:w="100"/>
            </w:tcMar>
            <w:vAlign w:val="center"/>
          </w:tcPr>
          <w:p>
            <w:r>
              <w:rPr>
                <w:b w:val="false"/>
                <w:bCs w:val="false"/>
                <w:color w:val="000000"/>
                <w:sz w:val="20"/>
                <w:szCs w:val="20"/>
              </w:rPr>
              <w:t xml:space="preserve">Labor Productivity and Costs — Construction</w:t>
            </w:r>
          </w:p>
        </w:tc>
        <w:tc>
          <w:tcPr>
            <w:tcW w:type="dxa" w:w="2200"/>
            <w:shd w:fill="F2F6FA" w:val="clear"/>
            <w:tcMar>
              <w:top w:type="dxa" w:w="80"/>
              <w:left w:type="dxa" w:w="100"/>
              <w:bottom w:type="dxa" w:w="80"/>
              <w:right w:type="dxa" w:w="100"/>
            </w:tcMar>
            <w:vAlign w:val="center"/>
          </w:tcPr>
          <w:p>
            <w:r>
              <w:rPr>
                <w:b w:val="false"/>
                <w:bCs w:val="false"/>
                <w:color w:val="000000"/>
                <w:sz w:val="20"/>
                <w:szCs w:val="20"/>
              </w:rPr>
              <w:t xml:space="preserve">U.S. Bureau of Labor Statistics (BLS)</w:t>
            </w:r>
          </w:p>
        </w:tc>
        <w:tc>
          <w:tcPr>
            <w:tcW w:type="dxa" w:w="2400"/>
            <w:shd w:fill="F2F6FA" w:val="clear"/>
            <w:tcMar>
              <w:top w:type="dxa" w:w="80"/>
              <w:left w:type="dxa" w:w="100"/>
              <w:bottom w:type="dxa" w:w="80"/>
              <w:right w:type="dxa" w:w="100"/>
            </w:tcMar>
            <w:vAlign w:val="center"/>
          </w:tcPr>
          <w:p>
            <w:r>
              <w:rPr>
                <w:b w:val="false"/>
                <w:bCs w:val="false"/>
                <w:color w:val="000000"/>
                <w:sz w:val="20"/>
                <w:szCs w:val="20"/>
              </w:rPr>
              <w:t xml:space="preserve">CSV / API</w:t>
            </w:r>
          </w:p>
        </w:tc>
        <w:tc>
          <w:tcPr>
            <w:tcW w:type="dxa" w:w="2700"/>
            <w:shd w:fill="F2F6FA" w:val="clear"/>
            <w:tcMar>
              <w:top w:type="dxa" w:w="80"/>
              <w:left w:type="dxa" w:w="100"/>
              <w:bottom w:type="dxa" w:w="80"/>
              <w:right w:type="dxa" w:w="100"/>
            </w:tcMar>
            <w:vAlign w:val="center"/>
          </w:tcPr>
          <w:p>
            <w:r>
              <w:rPr>
                <w:b w:val="false"/>
                <w:bCs w:val="false"/>
                <w:color w:val="000000"/>
                <w:sz w:val="20"/>
                <w:szCs w:val="20"/>
              </w:rPr>
              <w:t xml:space="preserve">Output per hour, unit labour cost, hours worked in construction</w:t>
            </w:r>
          </w:p>
        </w:tc>
      </w:tr>
      <w:tr>
        <w:tc>
          <w:tcPr>
            <w:tcW w:type="dxa" w:w="2600"/>
            <w:shd w:fill="F2F6FA" w:val="clear"/>
            <w:tcMar>
              <w:top w:type="dxa" w:w="80"/>
              <w:left w:type="dxa" w:w="100"/>
              <w:bottom w:type="dxa" w:w="80"/>
              <w:right w:type="dxa" w:w="100"/>
            </w:tcMar>
            <w:vAlign w:val="center"/>
          </w:tcPr>
          <w:p>
            <w:r>
              <w:rPr>
                <w:b w:val="false"/>
                <w:bCs w:val="false"/>
                <w:color w:val="000000"/>
                <w:sz w:val="20"/>
                <w:szCs w:val="20"/>
              </w:rPr>
              <w:t xml:space="preserve">Construction Industry — Productive Hours</w:t>
            </w:r>
          </w:p>
        </w:tc>
        <w:tc>
          <w:tcPr>
            <w:tcW w:type="dxa" w:w="2200"/>
            <w:shd w:fill="F2F6FA" w:val="clear"/>
            <w:tcMar>
              <w:top w:type="dxa" w:w="80"/>
              <w:left w:type="dxa" w:w="100"/>
              <w:bottom w:type="dxa" w:w="80"/>
              <w:right w:type="dxa" w:w="100"/>
            </w:tcMar>
            <w:vAlign w:val="center"/>
          </w:tcPr>
          <w:p>
            <w:r>
              <w:rPr>
                <w:b w:val="false"/>
                <w:bCs w:val="false"/>
                <w:color w:val="000000"/>
                <w:sz w:val="20"/>
                <w:szCs w:val="20"/>
              </w:rPr>
              <w:t xml:space="preserve">Statistics Netherlands (CBS Open Data / StatLine)</w:t>
            </w:r>
          </w:p>
        </w:tc>
        <w:tc>
          <w:tcPr>
            <w:tcW w:type="dxa" w:w="2400"/>
            <w:shd w:fill="F2F6FA" w:val="clear"/>
            <w:tcMar>
              <w:top w:type="dxa" w:w="80"/>
              <w:left w:type="dxa" w:w="100"/>
              <w:bottom w:type="dxa" w:w="80"/>
              <w:right w:type="dxa" w:w="100"/>
            </w:tcMar>
            <w:vAlign w:val="center"/>
          </w:tcPr>
          <w:p>
            <w:r>
              <w:rPr>
                <w:b w:val="false"/>
                <w:bCs w:val="false"/>
                <w:color w:val="000000"/>
                <w:sz w:val="20"/>
                <w:szCs w:val="20"/>
              </w:rPr>
              <w:t xml:space="preserve">OData API / CSV</w:t>
            </w:r>
          </w:p>
        </w:tc>
        <w:tc>
          <w:tcPr>
            <w:tcW w:type="dxa" w:w="2700"/>
            <w:shd w:fill="F2F6FA" w:val="clear"/>
            <w:tcMar>
              <w:top w:type="dxa" w:w="80"/>
              <w:left w:type="dxa" w:w="100"/>
              <w:bottom w:type="dxa" w:w="80"/>
              <w:right w:type="dxa" w:w="100"/>
            </w:tcMar>
            <w:vAlign w:val="center"/>
          </w:tcPr>
          <w:p>
            <w:r>
              <w:rPr>
                <w:b w:val="false"/>
                <w:bCs w:val="false"/>
                <w:color w:val="000000"/>
                <w:sz w:val="20"/>
                <w:szCs w:val="20"/>
              </w:rPr>
              <w:t xml:space="preserve">Productive vs. non-productive hours per employee, quarterly</w:t>
            </w:r>
          </w:p>
        </w:tc>
      </w:tr>
      <w:tr>
        <w:tc>
          <w:tcPr>
            <w:tcW w:type="dxa" w:w="2600"/>
            <w:shd w:fill="F2F6FA" w:val="clear"/>
            <w:tcMar>
              <w:top w:type="dxa" w:w="80"/>
              <w:left w:type="dxa" w:w="100"/>
              <w:bottom w:type="dxa" w:w="80"/>
              <w:right w:type="dxa" w:w="100"/>
            </w:tcMar>
            <w:vAlign w:val="center"/>
          </w:tcPr>
          <w:p>
            <w:r>
              <w:rPr>
                <w:b w:val="false"/>
                <w:bCs w:val="false"/>
                <w:color w:val="000000"/>
                <w:sz w:val="20"/>
                <w:szCs w:val="20"/>
              </w:rPr>
              <w:t xml:space="preserve">Employment, Hours, and Earnings</w:t>
            </w:r>
          </w:p>
        </w:tc>
        <w:tc>
          <w:tcPr>
            <w:tcW w:type="dxa" w:w="2200"/>
            <w:shd w:fill="F2F6FA" w:val="clear"/>
            <w:tcMar>
              <w:top w:type="dxa" w:w="80"/>
              <w:left w:type="dxa" w:w="100"/>
              <w:bottom w:type="dxa" w:w="80"/>
              <w:right w:type="dxa" w:w="100"/>
            </w:tcMar>
            <w:vAlign w:val="center"/>
          </w:tcPr>
          <w:p>
            <w:r>
              <w:rPr>
                <w:b w:val="false"/>
                <w:bCs w:val="false"/>
                <w:color w:val="000000"/>
                <w:sz w:val="20"/>
                <w:szCs w:val="20"/>
              </w:rPr>
              <w:t xml:space="preserve">BLS Current Employment Statistics (CES)</w:t>
            </w:r>
          </w:p>
        </w:tc>
        <w:tc>
          <w:tcPr>
            <w:tcW w:type="dxa" w:w="2400"/>
            <w:shd w:fill="F2F6FA" w:val="clear"/>
            <w:tcMar>
              <w:top w:type="dxa" w:w="80"/>
              <w:left w:type="dxa" w:w="100"/>
              <w:bottom w:type="dxa" w:w="80"/>
              <w:right w:type="dxa" w:w="100"/>
            </w:tcMar>
            <w:vAlign w:val="center"/>
          </w:tcPr>
          <w:p>
            <w:r>
              <w:rPr>
                <w:b w:val="false"/>
                <w:bCs w:val="false"/>
                <w:color w:val="000000"/>
                <w:sz w:val="20"/>
                <w:szCs w:val="20"/>
              </w:rPr>
              <w:t xml:space="preserve">CSV / API</w:t>
            </w:r>
          </w:p>
        </w:tc>
        <w:tc>
          <w:tcPr>
            <w:tcW w:type="dxa" w:w="2700"/>
            <w:shd w:fill="F2F6FA" w:val="clear"/>
            <w:tcMar>
              <w:top w:type="dxa" w:w="80"/>
              <w:left w:type="dxa" w:w="100"/>
              <w:bottom w:type="dxa" w:w="80"/>
              <w:right w:type="dxa" w:w="100"/>
            </w:tcMar>
            <w:vAlign w:val="center"/>
          </w:tcPr>
          <w:p>
            <w:r>
              <w:rPr>
                <w:b w:val="false"/>
                <w:bCs w:val="false"/>
                <w:color w:val="000000"/>
                <w:sz w:val="20"/>
                <w:szCs w:val="20"/>
              </w:rPr>
              <w:t xml:space="preserve">Construction sector employment counts and average weekly hours</w:t>
            </w:r>
          </w:p>
        </w:tc>
      </w:tr>
    </w:tbl>
    <w:p>
      <w:pPr>
        <w:pStyle w:val="Heading2"/>
        <w:spacing w:after="120" w:before="260"/>
      </w:pPr>
      <w:r>
        <w:rPr>
          <w:b/>
          <w:bCs/>
          <w:color w:val="2E74B5"/>
          <w:sz w:val="24"/>
          <w:szCs w:val="24"/>
        </w:rPr>
        <w:t xml:space="preserve">2.3 Project Timeline / Schedule Data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2700"/>
      </w:tblGrid>
      <w:tr>
        <w:tc>
          <w:tcPr>
            <w:tcW w:type="dxa" w:w="2600"/>
            <w:shd w:fill="1F3864" w:val="clear"/>
            <w:tcMar>
              <w:top w:type="dxa" w:w="80"/>
              <w:left w:type="dxa" w:w="100"/>
              <w:bottom w:type="dxa" w:w="80"/>
              <w:right w:type="dxa" w:w="100"/>
            </w:tcMar>
            <w:vAlign w:val="center"/>
          </w:tcPr>
          <w:p>
            <w:r>
              <w:rPr>
                <w:b/>
                <w:bCs/>
                <w:color w:val="FFFFFF"/>
                <w:sz w:val="20"/>
                <w:szCs w:val="20"/>
              </w:rPr>
              <w:t xml:space="preserve">Source</w:t>
            </w:r>
          </w:p>
        </w:tc>
        <w:tc>
          <w:tcPr>
            <w:tcW w:type="dxa" w:w="2200"/>
            <w:shd w:fill="1F3864" w:val="clear"/>
            <w:tcMar>
              <w:top w:type="dxa" w:w="80"/>
              <w:left w:type="dxa" w:w="100"/>
              <w:bottom w:type="dxa" w:w="80"/>
              <w:right w:type="dxa" w:w="100"/>
            </w:tcMar>
            <w:vAlign w:val="center"/>
          </w:tcPr>
          <w:p>
            <w:r>
              <w:rPr>
                <w:b/>
                <w:bCs/>
                <w:color w:val="FFFFFF"/>
                <w:sz w:val="20"/>
                <w:szCs w:val="20"/>
              </w:rPr>
              <w:t xml:space="preserve">Publisher</w:t>
            </w:r>
          </w:p>
        </w:tc>
        <w:tc>
          <w:tcPr>
            <w:tcW w:type="dxa" w:w="2400"/>
            <w:shd w:fill="1F3864" w:val="clear"/>
            <w:tcMar>
              <w:top w:type="dxa" w:w="80"/>
              <w:left w:type="dxa" w:w="100"/>
              <w:bottom w:type="dxa" w:w="80"/>
              <w:right w:type="dxa" w:w="100"/>
            </w:tcMar>
            <w:vAlign w:val="center"/>
          </w:tcPr>
          <w:p>
            <w:r>
              <w:rPr>
                <w:b/>
                <w:bCs/>
                <w:color w:val="FFFFFF"/>
                <w:sz w:val="20"/>
                <w:szCs w:val="20"/>
              </w:rPr>
              <w:t xml:space="preserve">Format / Access</w:t>
            </w:r>
          </w:p>
        </w:tc>
        <w:tc>
          <w:tcPr>
            <w:tcW w:type="dxa" w:w="2700"/>
            <w:shd w:fill="1F3864" w:val="clear"/>
            <w:tcMar>
              <w:top w:type="dxa" w:w="80"/>
              <w:left w:type="dxa" w:w="100"/>
              <w:bottom w:type="dxa" w:w="80"/>
              <w:right w:type="dxa" w:w="100"/>
            </w:tcMar>
            <w:vAlign w:val="center"/>
          </w:tcPr>
          <w:p>
            <w:r>
              <w:rPr>
                <w:b/>
                <w:bCs/>
                <w:color w:val="FFFFFF"/>
                <w:sz w:val="20"/>
                <w:szCs w:val="20"/>
              </w:rPr>
              <w:t xml:space="preserve">Relevant Metrics</w:t>
            </w:r>
          </w:p>
        </w:tc>
      </w:tr>
      <w:tr>
        <w:tc>
          <w:tcPr>
            <w:tcW w:type="dxa" w:w="2600"/>
            <w:shd w:fill="F2F6FA" w:val="clear"/>
            <w:tcMar>
              <w:top w:type="dxa" w:w="80"/>
              <w:left w:type="dxa" w:w="100"/>
              <w:bottom w:type="dxa" w:w="80"/>
              <w:right w:type="dxa" w:w="100"/>
            </w:tcMar>
            <w:vAlign w:val="center"/>
          </w:tcPr>
          <w:p>
            <w:r>
              <w:rPr>
                <w:b w:val="false"/>
                <w:bCs w:val="false"/>
                <w:color w:val="000000"/>
                <w:sz w:val="20"/>
                <w:szCs w:val="20"/>
              </w:rPr>
              <w:t xml:space="preserve">FPDS-NG construction contracts extract (schedule fields)</w:t>
            </w:r>
          </w:p>
        </w:tc>
        <w:tc>
          <w:tcPr>
            <w:tcW w:type="dxa" w:w="2200"/>
            <w:shd w:fill="F2F6FA" w:val="clear"/>
            <w:tcMar>
              <w:top w:type="dxa" w:w="80"/>
              <w:left w:type="dxa" w:w="100"/>
              <w:bottom w:type="dxa" w:w="80"/>
              <w:right w:type="dxa" w:w="100"/>
            </w:tcMar>
            <w:vAlign w:val="center"/>
          </w:tcPr>
          <w:p>
            <w:r>
              <w:rPr>
                <w:b w:val="false"/>
                <w:bCs w:val="false"/>
                <w:color w:val="000000"/>
                <w:sz w:val="20"/>
                <w:szCs w:val="20"/>
              </w:rPr>
              <w:t xml:space="preserve">Data in Brief / U.S. Federal Government</w:t>
            </w:r>
          </w:p>
        </w:tc>
        <w:tc>
          <w:tcPr>
            <w:tcW w:type="dxa" w:w="2400"/>
            <w:shd w:fill="F2F6FA" w:val="clear"/>
            <w:tcMar>
              <w:top w:type="dxa" w:w="80"/>
              <w:left w:type="dxa" w:w="100"/>
              <w:bottom w:type="dxa" w:w="80"/>
              <w:right w:type="dxa" w:w="100"/>
            </w:tcMar>
            <w:vAlign w:val="center"/>
          </w:tcPr>
          <w:p>
            <w:r>
              <w:rPr>
                <w:b w:val="false"/>
                <w:bCs w:val="false"/>
                <w:color w:val="000000"/>
                <w:sz w:val="20"/>
                <w:szCs w:val="20"/>
              </w:rPr>
              <w:t xml:space="preserve">CSV</w:t>
            </w:r>
          </w:p>
        </w:tc>
        <w:tc>
          <w:tcPr>
            <w:tcW w:type="dxa" w:w="2700"/>
            <w:shd w:fill="F2F6FA" w:val="clear"/>
            <w:tcMar>
              <w:top w:type="dxa" w:w="80"/>
              <w:left w:type="dxa" w:w="100"/>
              <w:bottom w:type="dxa" w:w="80"/>
              <w:right w:type="dxa" w:w="100"/>
            </w:tcMar>
            <w:vAlign w:val="center"/>
          </w:tcPr>
          <w:p>
            <w:r>
              <w:rPr>
                <w:b w:val="false"/>
                <w:bCs w:val="false"/>
                <w:color w:val="000000"/>
                <w:sz w:val="20"/>
                <w:szCs w:val="20"/>
              </w:rPr>
              <w:t xml:space="preserve">Award date, period of performance, contract duration, completion status</w:t>
            </w:r>
          </w:p>
        </w:tc>
      </w:tr>
      <w:tr>
        <w:tc>
          <w:tcPr>
            <w:tcW w:type="dxa" w:w="2600"/>
            <w:shd w:fill="F2F6FA" w:val="clear"/>
            <w:tcMar>
              <w:top w:type="dxa" w:w="80"/>
              <w:left w:type="dxa" w:w="100"/>
              <w:bottom w:type="dxa" w:w="80"/>
              <w:right w:type="dxa" w:w="100"/>
            </w:tcMar>
            <w:vAlign w:val="center"/>
          </w:tcPr>
          <w:p>
            <w:r>
              <w:rPr>
                <w:b w:val="false"/>
                <w:bCs w:val="false"/>
                <w:color w:val="000000"/>
                <w:sz w:val="20"/>
                <w:szCs w:val="20"/>
              </w:rPr>
              <w:t xml:space="preserve">Building Permits Survey</w:t>
            </w:r>
          </w:p>
        </w:tc>
        <w:tc>
          <w:tcPr>
            <w:tcW w:type="dxa" w:w="2200"/>
            <w:shd w:fill="F2F6FA" w:val="clear"/>
            <w:tcMar>
              <w:top w:type="dxa" w:w="80"/>
              <w:left w:type="dxa" w:w="100"/>
              <w:bottom w:type="dxa" w:w="80"/>
              <w:right w:type="dxa" w:w="100"/>
            </w:tcMar>
            <w:vAlign w:val="center"/>
          </w:tcPr>
          <w:p>
            <w:r>
              <w:rPr>
                <w:b w:val="false"/>
                <w:bCs w:val="false"/>
                <w:color w:val="000000"/>
                <w:sz w:val="20"/>
                <w:szCs w:val="20"/>
              </w:rPr>
              <w:t xml:space="preserve">U.S. Census Bureau</w:t>
            </w:r>
          </w:p>
        </w:tc>
        <w:tc>
          <w:tcPr>
            <w:tcW w:type="dxa" w:w="2400"/>
            <w:shd w:fill="F2F6FA" w:val="clear"/>
            <w:tcMar>
              <w:top w:type="dxa" w:w="80"/>
              <w:left w:type="dxa" w:w="100"/>
              <w:bottom w:type="dxa" w:w="80"/>
              <w:right w:type="dxa" w:w="100"/>
            </w:tcMar>
            <w:vAlign w:val="center"/>
          </w:tcPr>
          <w:p>
            <w:r>
              <w:rPr>
                <w:b w:val="false"/>
                <w:bCs w:val="false"/>
                <w:color w:val="000000"/>
                <w:sz w:val="20"/>
                <w:szCs w:val="20"/>
              </w:rPr>
              <w:t xml:space="preserve">CSV / XLSX, monthly</w:t>
            </w:r>
          </w:p>
        </w:tc>
        <w:tc>
          <w:tcPr>
            <w:tcW w:type="dxa" w:w="2700"/>
            <w:shd w:fill="F2F6FA" w:val="clear"/>
            <w:tcMar>
              <w:top w:type="dxa" w:w="80"/>
              <w:left w:type="dxa" w:w="100"/>
              <w:bottom w:type="dxa" w:w="80"/>
              <w:right w:type="dxa" w:w="100"/>
            </w:tcMar>
            <w:vAlign w:val="center"/>
          </w:tcPr>
          <w:p>
            <w:r>
              <w:rPr>
                <w:b w:val="false"/>
                <w:bCs w:val="false"/>
                <w:color w:val="000000"/>
                <w:sz w:val="20"/>
                <w:szCs w:val="20"/>
              </w:rPr>
              <w:t xml:space="preserve">Permit issue date to completion lag, by jurisdiction and building type</w:t>
            </w:r>
          </w:p>
        </w:tc>
      </w:tr>
      <w:tr>
        <w:tc>
          <w:tcPr>
            <w:tcW w:type="dxa" w:w="2600"/>
            <w:shd w:fill="F2F6FA" w:val="clear"/>
            <w:tcMar>
              <w:top w:type="dxa" w:w="80"/>
              <w:left w:type="dxa" w:w="100"/>
              <w:bottom w:type="dxa" w:w="80"/>
              <w:right w:type="dxa" w:w="100"/>
            </w:tcMar>
            <w:vAlign w:val="center"/>
          </w:tcPr>
          <w:p>
            <w:r>
              <w:rPr>
                <w:b w:val="false"/>
                <w:bCs w:val="false"/>
                <w:color w:val="000000"/>
                <w:sz w:val="20"/>
                <w:szCs w:val="20"/>
              </w:rPr>
              <w:t xml:space="preserve">Sample construction cost/duration datasets (Kaggle, public domain)</w:t>
            </w:r>
          </w:p>
        </w:tc>
        <w:tc>
          <w:tcPr>
            <w:tcW w:type="dxa" w:w="2200"/>
            <w:shd w:fill="F2F6FA" w:val="clear"/>
            <w:tcMar>
              <w:top w:type="dxa" w:w="80"/>
              <w:left w:type="dxa" w:w="100"/>
              <w:bottom w:type="dxa" w:w="80"/>
              <w:right w:type="dxa" w:w="100"/>
            </w:tcMar>
            <w:vAlign w:val="center"/>
          </w:tcPr>
          <w:p>
            <w:r>
              <w:rPr>
                <w:b w:val="false"/>
                <w:bCs w:val="false"/>
                <w:color w:val="000000"/>
                <w:sz w:val="20"/>
                <w:szCs w:val="20"/>
              </w:rPr>
              <w:t xml:space="preserve">Community-contributed, CC-licensed</w:t>
            </w:r>
          </w:p>
        </w:tc>
        <w:tc>
          <w:tcPr>
            <w:tcW w:type="dxa" w:w="2400"/>
            <w:shd w:fill="F2F6FA" w:val="clear"/>
            <w:tcMar>
              <w:top w:type="dxa" w:w="80"/>
              <w:left w:type="dxa" w:w="100"/>
              <w:bottom w:type="dxa" w:w="80"/>
              <w:right w:type="dxa" w:w="100"/>
            </w:tcMar>
            <w:vAlign w:val="center"/>
          </w:tcPr>
          <w:p>
            <w:r>
              <w:rPr>
                <w:b w:val="false"/>
                <w:bCs w:val="false"/>
                <w:color w:val="000000"/>
                <w:sz w:val="20"/>
                <w:szCs w:val="20"/>
              </w:rPr>
              <w:t xml:space="preserve">CSV</w:t>
            </w:r>
          </w:p>
        </w:tc>
        <w:tc>
          <w:tcPr>
            <w:tcW w:type="dxa" w:w="2700"/>
            <w:shd w:fill="F2F6FA" w:val="clear"/>
            <w:tcMar>
              <w:top w:type="dxa" w:w="80"/>
              <w:left w:type="dxa" w:w="100"/>
              <w:bottom w:type="dxa" w:w="80"/>
              <w:right w:type="dxa" w:w="100"/>
            </w:tcMar>
            <w:vAlign w:val="center"/>
          </w:tcPr>
          <w:p>
            <w:r>
              <w:rPr>
                <w:b w:val="false"/>
                <w:bCs w:val="false"/>
                <w:color w:val="000000"/>
                <w:sz w:val="20"/>
                <w:szCs w:val="20"/>
              </w:rPr>
              <w:t xml:space="preserve">Illustrative project-level cost, duration, and profit figures for pipeline testing</w:t>
            </w:r>
          </w:p>
        </w:tc>
      </w:tr>
    </w:tbl>
    <w:p>
      <w:pPr>
        <w:spacing w:after="160" w:line="300"/>
        <w:jc w:val="both"/>
      </w:pPr>
      <w:r>
        <w:rPr>
          <w:sz w:val="21"/>
          <w:szCs w:val="21"/>
        </w:rPr>
        <w:t xml:space="preserve">Where a single authoritative dataset does not exist for a metric family, the pipeline is designed to blend a government statistical series (for trend and benchmark context) with a project-level open dataset (for granular, project-by-project detail), joined on common keys such as region, period, and construction type.</w:t>
      </w:r>
    </w:p>
    <w:p>
      <w:pPr>
        <w:pStyle w:val="Heading1"/>
        <w:pBdr>
          <w:bottom w:val="single" w:color="2E74B5" w:sz="6" w:space="4"/>
        </w:pBdr>
        <w:spacing w:after="160" w:before="360"/>
      </w:pPr>
      <w:r>
        <w:rPr>
          <w:b/>
          <w:bCs/>
          <w:color w:val="1F3864"/>
          <w:sz w:val="30"/>
          <w:szCs w:val="30"/>
        </w:rPr>
        <w:t xml:space="preserve">3. Data Import into Power BI</w:t>
      </w:r>
    </w:p>
    <w:p>
      <w:pPr>
        <w:pStyle w:val="Heading2"/>
        <w:spacing w:after="120" w:before="260"/>
      </w:pPr>
      <w:r>
        <w:rPr>
          <w:b/>
          <w:bCs/>
          <w:color w:val="2E74B5"/>
          <w:sz w:val="24"/>
          <w:szCs w:val="24"/>
        </w:rPr>
        <w:t xml:space="preserve">3.1 Format Compatibility</w:t>
      </w:r>
    </w:p>
    <w:p>
      <w:pPr>
        <w:spacing w:after="160" w:line="300"/>
        <w:jc w:val="both"/>
      </w:pPr>
      <w:r>
        <w:rPr>
          <w:sz w:val="21"/>
          <w:szCs w:val="21"/>
        </w:rPr>
        <w:t xml:space="preserve">The sources above arrive in a small number of common formats, each of which Power BI's Get Data experience supports natively:</w:t>
      </w:r>
    </w:p>
    <w:p>
      <w:pPr>
        <w:pStyle w:val="ListParagraph"/>
        <w:numPr>
          <w:ilvl w:val="0"/>
          <w:numId w:val="2"/>
        </w:numPr>
        <w:spacing w:after="80"/>
      </w:pPr>
      <w:r>
        <w:rPr>
          <w:sz w:val="21"/>
          <w:szCs w:val="21"/>
        </w:rPr>
        <w:t xml:space="preserve">CSV / TSV — the most common export format from statistical portals; imported via Get Data → Text/CSV.</w:t>
      </w:r>
    </w:p>
    <w:p>
      <w:pPr>
        <w:pStyle w:val="ListParagraph"/>
        <w:numPr>
          <w:ilvl w:val="0"/>
          <w:numId w:val="2"/>
        </w:numPr>
        <w:spacing w:after="80"/>
      </w:pPr>
      <w:r>
        <w:rPr>
          <w:sz w:val="21"/>
          <w:szCs w:val="21"/>
        </w:rPr>
        <w:t xml:space="preserve">Excel workbooks (XLSX) — used by Census and ONS releases; imported via Get Data → Excel, with the ability to select individual sheets or named tables.</w:t>
      </w:r>
    </w:p>
    <w:p>
      <w:pPr>
        <w:pStyle w:val="ListParagraph"/>
        <w:numPr>
          <w:ilvl w:val="0"/>
          <w:numId w:val="2"/>
        </w:numPr>
        <w:spacing w:after="80"/>
      </w:pPr>
      <w:r>
        <w:rPr>
          <w:sz w:val="21"/>
          <w:szCs w:val="21"/>
        </w:rPr>
        <w:t xml:space="preserve">Web / OData / REST API — used for BLS and CBS StatLine data; imported via Get Data → Web (for simple JSON/XML endpoints) or Get Data → OData Feed for StatLine, which allows direct filtering by table code before data even lands in Power BI.</w:t>
      </w:r>
    </w:p>
    <w:p>
      <w:pPr>
        <w:pStyle w:val="ListParagraph"/>
        <w:numPr>
          <w:ilvl w:val="0"/>
          <w:numId w:val="2"/>
        </w:numPr>
        <w:spacing w:after="80"/>
      </w:pPr>
      <w:r>
        <w:rPr>
          <w:sz w:val="21"/>
          <w:szCs w:val="21"/>
        </w:rPr>
        <w:t xml:space="preserve">Folder of files — where a series is published as one file per period (e.g., monthly Construction Spending releases), the Folder connector combines all files into a single table automatically.</w:t>
      </w:r>
    </w:p>
    <w:p>
      <w:pPr>
        <w:pStyle w:val="Heading2"/>
        <w:spacing w:after="120" w:before="260"/>
      </w:pPr>
      <w:r>
        <w:rPr>
          <w:b/>
          <w:bCs/>
          <w:color w:val="2E74B5"/>
          <w:sz w:val="24"/>
          <w:szCs w:val="24"/>
        </w:rPr>
        <w:t xml:space="preserve">3.2 Import Process Using Power Query</w:t>
      </w:r>
    </w:p>
    <w:p>
      <w:pPr>
        <w:pStyle w:val="ListParagraph"/>
        <w:numPr>
          <w:ilvl w:val="0"/>
          <w:numId w:val="3"/>
        </w:numPr>
        <w:spacing w:after="80"/>
      </w:pPr>
      <w:r>
        <w:rPr>
          <w:sz w:val="21"/>
          <w:szCs w:val="21"/>
        </w:rPr>
        <w:t xml:space="preserve">Open Power BI Desktop and select Get Data, then choose the connector matching the source format (Text/CSV, Excel, Web, OData, or Folder).</w:t>
      </w:r>
    </w:p>
    <w:p>
      <w:pPr>
        <w:pStyle w:val="ListParagraph"/>
        <w:numPr>
          <w:ilvl w:val="0"/>
          <w:numId w:val="3"/>
        </w:numPr>
        <w:spacing w:after="80"/>
      </w:pPr>
      <w:r>
        <w:rPr>
          <w:sz w:val="21"/>
          <w:szCs w:val="21"/>
        </w:rPr>
        <w:t xml:space="preserve">Point the connector at the source: a local file path for downloaded CSV/XLSX releases, or the published endpoint URL for API/OData sources.</w:t>
      </w:r>
    </w:p>
    <w:p>
      <w:pPr>
        <w:pStyle w:val="ListParagraph"/>
        <w:numPr>
          <w:ilvl w:val="0"/>
          <w:numId w:val="3"/>
        </w:numPr>
        <w:spacing w:after="80"/>
      </w:pPr>
      <w:r>
        <w:rPr>
          <w:sz w:val="21"/>
          <w:szCs w:val="21"/>
        </w:rPr>
        <w:t xml:space="preserve">In the preview window, select Transform Data rather than Load, so the source opens directly in the Power Query Editor before anything is written to the data model.</w:t>
      </w:r>
    </w:p>
    <w:p>
      <w:pPr>
        <w:pStyle w:val="ListParagraph"/>
        <w:numPr>
          <w:ilvl w:val="0"/>
          <w:numId w:val="3"/>
        </w:numPr>
        <w:spacing w:after="80"/>
      </w:pPr>
      <w:r>
        <w:rPr>
          <w:sz w:val="21"/>
          <w:szCs w:val="21"/>
        </w:rPr>
        <w:t xml:space="preserve">Confirm the detected file encoding and delimiter (CSV) or the correct sheet/table (Excel); for API sources, expand the JSON response to the relevant record/column structure.</w:t>
      </w:r>
    </w:p>
    <w:p>
      <w:pPr>
        <w:pStyle w:val="ListParagraph"/>
        <w:numPr>
          <w:ilvl w:val="0"/>
          <w:numId w:val="3"/>
        </w:numPr>
        <w:spacing w:after="80"/>
      </w:pPr>
      <w:r>
        <w:rPr>
          <w:sz w:val="21"/>
          <w:szCs w:val="21"/>
        </w:rPr>
        <w:t xml:space="preserve">Rename the query to a clear, source-identifying name (e.g., census_construction_spending, bls_ppi_construction) so later merge/append steps are unambiguous.</w:t>
      </w:r>
    </w:p>
    <w:p>
      <w:pPr>
        <w:pStyle w:val="ListParagraph"/>
        <w:numPr>
          <w:ilvl w:val="0"/>
          <w:numId w:val="3"/>
        </w:numPr>
        <w:spacing w:after="80"/>
      </w:pPr>
      <w:r>
        <w:rPr>
          <w:sz w:val="21"/>
          <w:szCs w:val="21"/>
        </w:rPr>
        <w:t xml:space="preserve">Disable Load for any staging queries that exist only to be referenced or combined later, keeping the final model limited to the queries actually needed on dashboards.</w:t>
      </w:r>
    </w:p>
    <w:p>
      <w:pPr>
        <w:spacing w:after="80" w:before="180"/>
      </w:pPr>
      <w:r>
        <w:rPr>
          <w:b/>
          <w:bCs/>
          <w:color w:val="1F3864"/>
          <w:sz w:val="22"/>
          <w:szCs w:val="22"/>
        </w:rPr>
        <w:t xml:space="preserve">Import Flow</w:t>
      </w:r>
    </w:p>
    <w:tbl>
      <w:tblPr>
        <w:tblW w:type="dxa" w:w="1043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1750"/>
            <w:shd w:fill="2E74B5" w:val="clear"/>
            <w:tcMar>
              <w:top w:type="dxa" w:w="120"/>
              <w:left w:type="dxa" w:w="80"/>
              <w:bottom w:type="dxa" w:w="120"/>
              <w:right w:type="dxa" w:w="80"/>
            </w:tcMar>
            <w:vAlign w:val="center"/>
          </w:tcPr>
          <w:p>
            <w:pPr>
              <w:jc w:val="center"/>
            </w:pPr>
            <w:r>
              <w:rPr>
                <w:b/>
                <w:bCs/>
                <w:color w:val="FFFFFF"/>
                <w:sz w:val="18"/>
                <w:szCs w:val="18"/>
              </w:rPr>
              <w:t xml:space="preserve">Identify
Source</w:t>
            </w:r>
          </w:p>
        </w:tc>
        <w:tc>
          <w:tcPr>
            <w:tcW w:type="dxa" w:w="420"/>
            <w:tcBorders>
              <w:top w:val="none"/>
              <w:left w:val="none"/>
              <w:bottom w:val="none"/>
              <w:right w:val="none"/>
            </w:tcBorders>
            <w:vAlign w:val="center"/>
          </w:tcPr>
          <w:p>
            <w:pPr>
              <w:jc w:val="center"/>
            </w:pPr>
            <w:r>
              <w:rPr>
                <w:b/>
                <w:bCs/>
                <w:color w:val="1F3864"/>
                <w:sz w:val="28"/>
                <w:szCs w:val="28"/>
              </w:rPr>
              <w:t xml:space="preserve">→</w:t>
            </w:r>
          </w:p>
        </w:tc>
        <w:tc>
          <w:tcPr>
            <w:tcW w:type="dxa" w:w="1750"/>
            <w:shd w:fill="2E74B5" w:val="clear"/>
            <w:tcMar>
              <w:top w:type="dxa" w:w="120"/>
              <w:left w:type="dxa" w:w="80"/>
              <w:bottom w:type="dxa" w:w="120"/>
              <w:right w:type="dxa" w:w="80"/>
            </w:tcMar>
            <w:vAlign w:val="center"/>
          </w:tcPr>
          <w:p>
            <w:pPr>
              <w:jc w:val="center"/>
            </w:pPr>
            <w:r>
              <w:rPr>
                <w:b/>
                <w:bCs/>
                <w:color w:val="FFFFFF"/>
                <w:sz w:val="18"/>
                <w:szCs w:val="18"/>
              </w:rPr>
              <w:t xml:space="preserve">Get Data
Connector</w:t>
            </w:r>
          </w:p>
        </w:tc>
        <w:tc>
          <w:tcPr>
            <w:tcW w:type="dxa" w:w="420"/>
            <w:tcBorders>
              <w:top w:val="none"/>
              <w:left w:val="none"/>
              <w:bottom w:val="none"/>
              <w:right w:val="none"/>
            </w:tcBorders>
            <w:vAlign w:val="center"/>
          </w:tcPr>
          <w:p>
            <w:pPr>
              <w:jc w:val="center"/>
            </w:pPr>
            <w:r>
              <w:rPr>
                <w:b/>
                <w:bCs/>
                <w:color w:val="1F3864"/>
                <w:sz w:val="28"/>
                <w:szCs w:val="28"/>
              </w:rPr>
              <w:t xml:space="preserve">→</w:t>
            </w:r>
          </w:p>
        </w:tc>
        <w:tc>
          <w:tcPr>
            <w:tcW w:type="dxa" w:w="1750"/>
            <w:shd w:fill="2E74B5" w:val="clear"/>
            <w:tcMar>
              <w:top w:type="dxa" w:w="120"/>
              <w:left w:type="dxa" w:w="80"/>
              <w:bottom w:type="dxa" w:w="120"/>
              <w:right w:type="dxa" w:w="80"/>
            </w:tcMar>
            <w:vAlign w:val="center"/>
          </w:tcPr>
          <w:p>
            <w:pPr>
              <w:jc w:val="center"/>
            </w:pPr>
            <w:r>
              <w:rPr>
                <w:b/>
                <w:bCs/>
                <w:color w:val="FFFFFF"/>
                <w:sz w:val="18"/>
                <w:szCs w:val="18"/>
              </w:rPr>
              <w:t xml:space="preserve">Preview &amp;
Transform</w:t>
            </w:r>
          </w:p>
        </w:tc>
        <w:tc>
          <w:tcPr>
            <w:tcW w:type="dxa" w:w="420"/>
            <w:tcBorders>
              <w:top w:val="none"/>
              <w:left w:val="none"/>
              <w:bottom w:val="none"/>
              <w:right w:val="none"/>
            </w:tcBorders>
            <w:vAlign w:val="center"/>
          </w:tcPr>
          <w:p>
            <w:pPr>
              <w:jc w:val="center"/>
            </w:pPr>
            <w:r>
              <w:rPr>
                <w:b/>
                <w:bCs/>
                <w:color w:val="1F3864"/>
                <w:sz w:val="28"/>
                <w:szCs w:val="28"/>
              </w:rPr>
              <w:t xml:space="preserve">→</w:t>
            </w:r>
          </w:p>
        </w:tc>
        <w:tc>
          <w:tcPr>
            <w:tcW w:type="dxa" w:w="1750"/>
            <w:shd w:fill="2E74B5" w:val="clear"/>
            <w:tcMar>
              <w:top w:type="dxa" w:w="120"/>
              <w:left w:type="dxa" w:w="80"/>
              <w:bottom w:type="dxa" w:w="120"/>
              <w:right w:type="dxa" w:w="80"/>
            </w:tcMar>
            <w:vAlign w:val="center"/>
          </w:tcPr>
          <w:p>
            <w:pPr>
              <w:jc w:val="center"/>
            </w:pPr>
            <w:r>
              <w:rPr>
                <w:b/>
                <w:bCs/>
                <w:color w:val="FFFFFF"/>
                <w:sz w:val="18"/>
                <w:szCs w:val="18"/>
              </w:rPr>
              <w:t xml:space="preserve">Power Query
Editor</w:t>
            </w:r>
          </w:p>
        </w:tc>
        <w:tc>
          <w:tcPr>
            <w:tcW w:type="dxa" w:w="420"/>
            <w:tcBorders>
              <w:top w:val="none"/>
              <w:left w:val="none"/>
              <w:bottom w:val="none"/>
              <w:right w:val="none"/>
            </w:tcBorders>
            <w:vAlign w:val="center"/>
          </w:tcPr>
          <w:p>
            <w:pPr>
              <w:jc w:val="center"/>
            </w:pPr>
            <w:r>
              <w:rPr>
                <w:b/>
                <w:bCs/>
                <w:color w:val="1F3864"/>
                <w:sz w:val="28"/>
                <w:szCs w:val="28"/>
              </w:rPr>
              <w:t xml:space="preserve">→</w:t>
            </w:r>
          </w:p>
        </w:tc>
        <w:tc>
          <w:tcPr>
            <w:tcW w:type="dxa" w:w="1750"/>
            <w:shd w:fill="2E74B5" w:val="clear"/>
            <w:tcMar>
              <w:top w:type="dxa" w:w="120"/>
              <w:left w:type="dxa" w:w="80"/>
              <w:bottom w:type="dxa" w:w="120"/>
              <w:right w:type="dxa" w:w="80"/>
            </w:tcMar>
            <w:vAlign w:val="center"/>
          </w:tcPr>
          <w:p>
            <w:pPr>
              <w:jc w:val="center"/>
            </w:pPr>
            <w:r>
              <w:rPr>
                <w:b/>
                <w:bCs/>
                <w:color w:val="FFFFFF"/>
                <w:sz w:val="18"/>
                <w:szCs w:val="18"/>
              </w:rPr>
              <w:t xml:space="preserve">Load to
Data Model</w:t>
            </w:r>
          </w:p>
        </w:tc>
      </w:tr>
    </w:tbl>
    <w:p>
      <w:pPr>
        <w:pStyle w:val="Heading1"/>
        <w:pBdr>
          <w:bottom w:val="single" w:color="2E74B5" w:sz="6" w:space="4"/>
        </w:pBdr>
        <w:spacing w:after="160" w:before="360"/>
      </w:pPr>
      <w:r>
        <w:rPr>
          <w:b/>
          <w:bCs/>
          <w:color w:val="1F3864"/>
          <w:sz w:val="30"/>
          <w:szCs w:val="30"/>
        </w:rPr>
        <w:t xml:space="preserve">4. Data Cleansing and Transformation</w:t>
      </w:r>
    </w:p>
    <w:p>
      <w:pPr>
        <w:spacing w:after="160" w:line="300"/>
        <w:jc w:val="both"/>
      </w:pPr>
      <w:r>
        <w:rPr>
          <w:sz w:val="21"/>
          <w:szCs w:val="21"/>
        </w:rPr>
        <w:t xml:space="preserve">Public datasets are generally well-structured but rarely analysis-ready: column headers vary by publisher, missing periods appear in time series, and units differ between sources (e.g., USD millions vs. GBP thousands, or hours vs. FTE). The following steps, performed in the Power Query Editor, bring the sources into a single, consistent model.</w:t>
      </w:r>
    </w:p>
    <w:p>
      <w:pPr>
        <w:pStyle w:val="Heading2"/>
        <w:spacing w:after="120" w:before="260"/>
      </w:pPr>
      <w:r>
        <w:rPr>
          <w:b/>
          <w:bCs/>
          <w:color w:val="2E74B5"/>
          <w:sz w:val="24"/>
          <w:szCs w:val="24"/>
        </w:rPr>
        <w:t xml:space="preserve">4.1 Handling Missing Values</w:t>
      </w:r>
    </w:p>
    <w:p>
      <w:pPr>
        <w:pStyle w:val="ListParagraph"/>
        <w:numPr>
          <w:ilvl w:val="0"/>
          <w:numId w:val="2"/>
        </w:numPr>
        <w:spacing w:after="80"/>
      </w:pPr>
      <w:r>
        <w:rPr>
          <w:sz w:val="21"/>
          <w:szCs w:val="21"/>
        </w:rPr>
        <w:t xml:space="preserve">Use Column Quality and Column Distribution views (View tab) to quickly identify columns with error or empty values before building any transformation steps on top of them.</w:t>
      </w:r>
    </w:p>
    <w:p>
      <w:pPr>
        <w:pStyle w:val="ListParagraph"/>
        <w:numPr>
          <w:ilvl w:val="0"/>
          <w:numId w:val="2"/>
        </w:numPr>
        <w:spacing w:after="80"/>
      </w:pPr>
      <w:r>
        <w:rPr>
          <w:sz w:val="21"/>
          <w:szCs w:val="21"/>
        </w:rPr>
        <w:t xml:space="preserve">For short gaps in a monthly/quarterly time series (e.g., a single missing period), apply Fill Down or Fill Up only where the underlying metric is genuinely carried forward (such as a status flag), never for flow metrics like spend or hours, where a gap should remain null or be flagged rather than guessed.</w:t>
      </w:r>
    </w:p>
    <w:p>
      <w:pPr>
        <w:pStyle w:val="ListParagraph"/>
        <w:numPr>
          <w:ilvl w:val="0"/>
          <w:numId w:val="2"/>
        </w:numPr>
        <w:spacing w:after="80"/>
      </w:pPr>
      <w:r>
        <w:rPr>
          <w:sz w:val="21"/>
          <w:szCs w:val="21"/>
        </w:rPr>
        <w:t xml:space="preserve">Replace non-numeric placeholders exported by statistical agencies (e.g., "..", "N/A", "-") with null using Replace Values, so numeric columns are correctly typed rather than defaulting to text.</w:t>
      </w:r>
    </w:p>
    <w:p>
      <w:pPr>
        <w:pStyle w:val="ListParagraph"/>
        <w:numPr>
          <w:ilvl w:val="0"/>
          <w:numId w:val="2"/>
        </w:numPr>
        <w:spacing w:after="80"/>
      </w:pPr>
      <w:r>
        <w:rPr>
          <w:sz w:val="21"/>
          <w:szCs w:val="21"/>
        </w:rPr>
        <w:t xml:space="preserve">Where a metric is missing for an entire region/period combination, keep the row with a null measure rather than deleting it, so downstream visuals can still show the absence of data rather than silently understating totals.</w:t>
      </w:r>
    </w:p>
    <w:p>
      <w:pPr>
        <w:pStyle w:val="Heading2"/>
        <w:spacing w:after="120" w:before="260"/>
      </w:pPr>
      <w:r>
        <w:rPr>
          <w:b/>
          <w:bCs/>
          <w:color w:val="2E74B5"/>
          <w:sz w:val="24"/>
          <w:szCs w:val="24"/>
        </w:rPr>
        <w:t xml:space="preserve">4.2 Data Type Correction and Normalisation</w:t>
      </w:r>
    </w:p>
    <w:p>
      <w:pPr>
        <w:pStyle w:val="ListParagraph"/>
        <w:numPr>
          <w:ilvl w:val="0"/>
          <w:numId w:val="2"/>
        </w:numPr>
        <w:spacing w:after="80"/>
      </w:pPr>
      <w:r>
        <w:rPr>
          <w:sz w:val="21"/>
          <w:szCs w:val="21"/>
        </w:rPr>
        <w:t xml:space="preserve">Explicitly set data types for every column (Whole Number, Decimal, Date, Text) rather than relying on Power BI's automatic detection, which can misread locale-specific date formats (DD/MM/YYYY vs. MM/DD/YYYY) from UK vs. US sources.</w:t>
      </w:r>
    </w:p>
    <w:p>
      <w:pPr>
        <w:pStyle w:val="ListParagraph"/>
        <w:numPr>
          <w:ilvl w:val="0"/>
          <w:numId w:val="2"/>
        </w:numPr>
        <w:spacing w:after="80"/>
      </w:pPr>
      <w:r>
        <w:rPr>
          <w:sz w:val="21"/>
          <w:szCs w:val="21"/>
        </w:rPr>
        <w:t xml:space="preserve">Standardise currency to a single base unit (e.g., USD millions) using a custom column with published exchange-rate or deflator references, so cost figures from U.S., UK, and Netherlands sources are comparable.</w:t>
      </w:r>
    </w:p>
    <w:p>
      <w:pPr>
        <w:pStyle w:val="ListParagraph"/>
        <w:numPr>
          <w:ilvl w:val="0"/>
          <w:numId w:val="2"/>
        </w:numPr>
        <w:spacing w:after="80"/>
      </w:pPr>
      <w:r>
        <w:rPr>
          <w:sz w:val="21"/>
          <w:szCs w:val="21"/>
        </w:rPr>
        <w:t xml:space="preserve">Standardise time granularity — where one source is monthly and another quarterly, aggregate the monthly series up to quarter using Group By, rather than trying to disaggregate the quarterly series down.</w:t>
      </w:r>
    </w:p>
    <w:p>
      <w:pPr>
        <w:pStyle w:val="ListParagraph"/>
        <w:numPr>
          <w:ilvl w:val="0"/>
          <w:numId w:val="2"/>
        </w:numPr>
        <w:spacing w:after="80"/>
      </w:pPr>
      <w:r>
        <w:rPr>
          <w:sz w:val="21"/>
          <w:szCs w:val="21"/>
        </w:rPr>
        <w:t xml:space="preserve">Standardise category labels (e.g., "Non-residential" vs. "Non-Residential" vs. "Nonresidential") using a mapping table merged in in Power Query, so slicers and relationships do not silently split one category into several.</w:t>
      </w:r>
    </w:p>
    <w:p>
      <w:pPr>
        <w:pStyle w:val="Heading2"/>
        <w:spacing w:after="120" w:before="260"/>
      </w:pPr>
      <w:r>
        <w:rPr>
          <w:b/>
          <w:bCs/>
          <w:color w:val="2E74B5"/>
          <w:sz w:val="24"/>
          <w:szCs w:val="24"/>
        </w:rPr>
        <w:t xml:space="preserve">4.3 Bridging Data From Multiple Sources</w:t>
      </w:r>
    </w:p>
    <w:p>
      <w:pPr>
        <w:spacing w:after="160" w:line="300"/>
        <w:jc w:val="both"/>
      </w:pPr>
      <w:r>
        <w:rPr>
          <w:sz w:val="21"/>
          <w:szCs w:val="21"/>
        </w:rPr>
        <w:t xml:space="preserve">Because no single public source covers cost, productivity, and schedule together at project level, the model bridges sources through a small set of shared dimension tables rather than one-to-one merges between every pair of sources:</w:t>
      </w:r>
    </w:p>
    <w:p>
      <w:pPr>
        <w:pStyle w:val="ListParagraph"/>
        <w:numPr>
          <w:ilvl w:val="0"/>
          <w:numId w:val="4"/>
        </w:numPr>
        <w:spacing w:after="80"/>
      </w:pPr>
      <w:r>
        <w:rPr>
          <w:sz w:val="21"/>
          <w:szCs w:val="21"/>
        </w:rPr>
        <w:t xml:space="preserve">Build a Date dimension table (via Power Query's date-table pattern or DAX CALENDAR/CALENDARAUTO) so every time series, regardless of native granularity, relates to a single calendar.</w:t>
      </w:r>
    </w:p>
    <w:p>
      <w:pPr>
        <w:pStyle w:val="ListParagraph"/>
        <w:numPr>
          <w:ilvl w:val="0"/>
          <w:numId w:val="4"/>
        </w:numPr>
        <w:spacing w:after="80"/>
      </w:pPr>
      <w:r>
        <w:rPr>
          <w:sz w:val="21"/>
          <w:szCs w:val="21"/>
        </w:rPr>
        <w:t xml:space="preserve">Build a Region/Geography dimension mapping each source's location labels (state, country, NUTS region) to a common geography key.</w:t>
      </w:r>
    </w:p>
    <w:p>
      <w:pPr>
        <w:pStyle w:val="ListParagraph"/>
        <w:numPr>
          <w:ilvl w:val="0"/>
          <w:numId w:val="4"/>
        </w:numPr>
        <w:spacing w:after="80"/>
      </w:pPr>
      <w:r>
        <w:rPr>
          <w:sz w:val="21"/>
          <w:szCs w:val="21"/>
        </w:rPr>
        <w:t xml:space="preserve">Build a Construction-Type dimension mapping each source's category scheme (residential/non-residential/civil, or CPC/NAICS-style codes) to one shared classification.</w:t>
      </w:r>
    </w:p>
    <w:p>
      <w:pPr>
        <w:pStyle w:val="ListParagraph"/>
        <w:numPr>
          <w:ilvl w:val="0"/>
          <w:numId w:val="4"/>
        </w:numPr>
        <w:spacing w:after="80"/>
      </w:pPr>
      <w:r>
        <w:rPr>
          <w:sz w:val="21"/>
          <w:szCs w:val="21"/>
        </w:rPr>
        <w:t xml:space="preserve">Use Merge Queries (left outer join) to attach each fact table to the shared dimensions, and Append Queries to stack fact tables that share the same grain (e.g., combining multiple periods' Construction Spending files from the Folder connector).</w:t>
      </w:r>
    </w:p>
    <w:p>
      <w:pPr>
        <w:pStyle w:val="ListParagraph"/>
        <w:numPr>
          <w:ilvl w:val="0"/>
          <w:numId w:val="4"/>
        </w:numPr>
        <w:spacing w:after="80"/>
      </w:pPr>
      <w:r>
        <w:rPr>
          <w:sz w:val="21"/>
          <w:szCs w:val="21"/>
        </w:rPr>
        <w:t xml:space="preserve">Load the resulting fact and dimension tables into the data model as a star schema, with measures written in DAX referencing the fact tables and slicers driven by the dimension tables.</w:t>
      </w:r>
    </w:p>
    <w:p>
      <w:pPr>
        <w:spacing w:after="80" w:before="180"/>
      </w:pPr>
      <w:r>
        <w:rPr>
          <w:b/>
          <w:bCs/>
          <w:color w:val="1F3864"/>
          <w:sz w:val="22"/>
          <w:szCs w:val="22"/>
        </w:rPr>
        <w:t xml:space="preserve">Transformation Flow</w:t>
      </w:r>
    </w:p>
    <w:tbl>
      <w:tblPr>
        <w:tblW w:type="dxa" w:w="1043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1750"/>
            <w:shd w:fill="2E74B5" w:val="clear"/>
            <w:tcMar>
              <w:top w:type="dxa" w:w="120"/>
              <w:left w:type="dxa" w:w="80"/>
              <w:bottom w:type="dxa" w:w="120"/>
              <w:right w:type="dxa" w:w="80"/>
            </w:tcMar>
            <w:vAlign w:val="center"/>
          </w:tcPr>
          <w:p>
            <w:pPr>
              <w:jc w:val="center"/>
            </w:pPr>
            <w:r>
              <w:rPr>
                <w:b/>
                <w:bCs/>
                <w:color w:val="FFFFFF"/>
                <w:sz w:val="18"/>
                <w:szCs w:val="18"/>
              </w:rPr>
              <w:t xml:space="preserve">Raw
Source</w:t>
            </w:r>
          </w:p>
        </w:tc>
        <w:tc>
          <w:tcPr>
            <w:tcW w:type="dxa" w:w="420"/>
            <w:tcBorders>
              <w:top w:val="none"/>
              <w:left w:val="none"/>
              <w:bottom w:val="none"/>
              <w:right w:val="none"/>
            </w:tcBorders>
            <w:vAlign w:val="center"/>
          </w:tcPr>
          <w:p>
            <w:pPr>
              <w:jc w:val="center"/>
            </w:pPr>
            <w:r>
              <w:rPr>
                <w:b/>
                <w:bCs/>
                <w:color w:val="1F3864"/>
                <w:sz w:val="28"/>
                <w:szCs w:val="28"/>
              </w:rPr>
              <w:t xml:space="preserve">→</w:t>
            </w:r>
          </w:p>
        </w:tc>
        <w:tc>
          <w:tcPr>
            <w:tcW w:type="dxa" w:w="1750"/>
            <w:shd w:fill="2E74B5" w:val="clear"/>
            <w:tcMar>
              <w:top w:type="dxa" w:w="120"/>
              <w:left w:type="dxa" w:w="80"/>
              <w:bottom w:type="dxa" w:w="120"/>
              <w:right w:type="dxa" w:w="80"/>
            </w:tcMar>
            <w:vAlign w:val="center"/>
          </w:tcPr>
          <w:p>
            <w:pPr>
              <w:jc w:val="center"/>
            </w:pPr>
            <w:r>
              <w:rPr>
                <w:b/>
                <w:bCs/>
                <w:color w:val="FFFFFF"/>
                <w:sz w:val="18"/>
                <w:szCs w:val="18"/>
              </w:rPr>
              <w:t xml:space="preserve">Clean
(nulls, types)</w:t>
            </w:r>
          </w:p>
        </w:tc>
        <w:tc>
          <w:tcPr>
            <w:tcW w:type="dxa" w:w="420"/>
            <w:tcBorders>
              <w:top w:val="none"/>
              <w:left w:val="none"/>
              <w:bottom w:val="none"/>
              <w:right w:val="none"/>
            </w:tcBorders>
            <w:vAlign w:val="center"/>
          </w:tcPr>
          <w:p>
            <w:pPr>
              <w:jc w:val="center"/>
            </w:pPr>
            <w:r>
              <w:rPr>
                <w:b/>
                <w:bCs/>
                <w:color w:val="1F3864"/>
                <w:sz w:val="28"/>
                <w:szCs w:val="28"/>
              </w:rPr>
              <w:t xml:space="preserve">→</w:t>
            </w:r>
          </w:p>
        </w:tc>
        <w:tc>
          <w:tcPr>
            <w:tcW w:type="dxa" w:w="1750"/>
            <w:shd w:fill="2E74B5" w:val="clear"/>
            <w:tcMar>
              <w:top w:type="dxa" w:w="120"/>
              <w:left w:type="dxa" w:w="80"/>
              <w:bottom w:type="dxa" w:w="120"/>
              <w:right w:type="dxa" w:w="80"/>
            </w:tcMar>
            <w:vAlign w:val="center"/>
          </w:tcPr>
          <w:p>
            <w:pPr>
              <w:jc w:val="center"/>
            </w:pPr>
            <w:r>
              <w:rPr>
                <w:b/>
                <w:bCs/>
                <w:color w:val="FFFFFF"/>
                <w:sz w:val="18"/>
                <w:szCs w:val="18"/>
              </w:rPr>
              <w:t xml:space="preserve">Normalize
(units, categories)</w:t>
            </w:r>
          </w:p>
        </w:tc>
        <w:tc>
          <w:tcPr>
            <w:tcW w:type="dxa" w:w="420"/>
            <w:tcBorders>
              <w:top w:val="none"/>
              <w:left w:val="none"/>
              <w:bottom w:val="none"/>
              <w:right w:val="none"/>
            </w:tcBorders>
            <w:vAlign w:val="center"/>
          </w:tcPr>
          <w:p>
            <w:pPr>
              <w:jc w:val="center"/>
            </w:pPr>
            <w:r>
              <w:rPr>
                <w:b/>
                <w:bCs/>
                <w:color w:val="1F3864"/>
                <w:sz w:val="28"/>
                <w:szCs w:val="28"/>
              </w:rPr>
              <w:t xml:space="preserve">→</w:t>
            </w:r>
          </w:p>
        </w:tc>
        <w:tc>
          <w:tcPr>
            <w:tcW w:type="dxa" w:w="1750"/>
            <w:shd w:fill="2E74B5" w:val="clear"/>
            <w:tcMar>
              <w:top w:type="dxa" w:w="120"/>
              <w:left w:type="dxa" w:w="80"/>
              <w:bottom w:type="dxa" w:w="120"/>
              <w:right w:type="dxa" w:w="80"/>
            </w:tcMar>
            <w:vAlign w:val="center"/>
          </w:tcPr>
          <w:p>
            <w:pPr>
              <w:jc w:val="center"/>
            </w:pPr>
            <w:r>
              <w:rPr>
                <w:b/>
                <w:bCs/>
                <w:color w:val="FFFFFF"/>
                <w:sz w:val="18"/>
                <w:szCs w:val="18"/>
              </w:rPr>
              <w:t xml:space="preserve">Merge/Append
(dimensions)</w:t>
            </w:r>
          </w:p>
        </w:tc>
        <w:tc>
          <w:tcPr>
            <w:tcW w:type="dxa" w:w="420"/>
            <w:tcBorders>
              <w:top w:val="none"/>
              <w:left w:val="none"/>
              <w:bottom w:val="none"/>
              <w:right w:val="none"/>
            </w:tcBorders>
            <w:vAlign w:val="center"/>
          </w:tcPr>
          <w:p>
            <w:pPr>
              <w:jc w:val="center"/>
            </w:pPr>
            <w:r>
              <w:rPr>
                <w:b/>
                <w:bCs/>
                <w:color w:val="1F3864"/>
                <w:sz w:val="28"/>
                <w:szCs w:val="28"/>
              </w:rPr>
              <w:t xml:space="preserve">→</w:t>
            </w:r>
          </w:p>
        </w:tc>
        <w:tc>
          <w:tcPr>
            <w:tcW w:type="dxa" w:w="1750"/>
            <w:shd w:fill="2E74B5" w:val="clear"/>
            <w:tcMar>
              <w:top w:type="dxa" w:w="120"/>
              <w:left w:type="dxa" w:w="80"/>
              <w:bottom w:type="dxa" w:w="120"/>
              <w:right w:type="dxa" w:w="80"/>
            </w:tcMar>
            <w:vAlign w:val="center"/>
          </w:tcPr>
          <w:p>
            <w:pPr>
              <w:jc w:val="center"/>
            </w:pPr>
            <w:r>
              <w:rPr>
                <w:b/>
                <w:bCs/>
                <w:color w:val="FFFFFF"/>
                <w:sz w:val="18"/>
                <w:szCs w:val="18"/>
              </w:rPr>
              <w:t xml:space="preserve">Star Schema
Data Model</w:t>
            </w:r>
          </w:p>
        </w:tc>
      </w:tr>
    </w:tbl>
    <w:p>
      <w:pPr>
        <w:pStyle w:val="Heading1"/>
        <w:pBdr>
          <w:bottom w:val="single" w:color="2E74B5" w:sz="6" w:space="4"/>
        </w:pBdr>
        <w:spacing w:after="160" w:before="360"/>
      </w:pPr>
      <w:r>
        <w:rPr>
          <w:b/>
          <w:bCs/>
          <w:color w:val="1F3864"/>
          <w:sz w:val="30"/>
          <w:szCs w:val="30"/>
        </w:rPr>
        <w:t xml:space="preserve">5. Challenges Faced and Handling Strategies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100"/>
      </w:tblGrid>
      <w:tr>
        <w:tc>
          <w:tcPr>
            <w:tcW w:type="dxa" w:w="2900"/>
            <w:shd w:fill="1F3864" w:val="clear"/>
            <w:tcMar>
              <w:top w:type="dxa" w:w="80"/>
              <w:left w:type="dxa" w:w="100"/>
              <w:bottom w:type="dxa" w:w="80"/>
              <w:right w:type="dxa" w:w="100"/>
            </w:tcMar>
            <w:vAlign w:val="center"/>
          </w:tcPr>
          <w:p>
            <w:r>
              <w:rPr>
                <w:b/>
                <w:bCs/>
                <w:color w:val="FFFFFF"/>
                <w:sz w:val="20"/>
                <w:szCs w:val="20"/>
              </w:rPr>
              <w:t xml:space="preserve">Challenge</w:t>
            </w:r>
          </w:p>
        </w:tc>
        <w:tc>
          <w:tcPr>
            <w:tcW w:type="dxa" w:w="2900"/>
            <w:shd w:fill="1F3864" w:val="clear"/>
            <w:tcMar>
              <w:top w:type="dxa" w:w="80"/>
              <w:left w:type="dxa" w:w="100"/>
              <w:bottom w:type="dxa" w:w="80"/>
              <w:right w:type="dxa" w:w="100"/>
            </w:tcMar>
            <w:vAlign w:val="center"/>
          </w:tcPr>
          <w:p>
            <w:r>
              <w:rPr>
                <w:b/>
                <w:bCs/>
                <w:color w:val="FFFFFF"/>
                <w:sz w:val="20"/>
                <w:szCs w:val="20"/>
              </w:rPr>
              <w:t xml:space="preserve">Why It Occurs</w:t>
            </w:r>
          </w:p>
        </w:tc>
        <w:tc>
          <w:tcPr>
            <w:tcW w:type="dxa" w:w="3100"/>
            <w:shd w:fill="1F3864" w:val="clear"/>
            <w:tcMar>
              <w:top w:type="dxa" w:w="80"/>
              <w:left w:type="dxa" w:w="100"/>
              <w:bottom w:type="dxa" w:w="80"/>
              <w:right w:type="dxa" w:w="100"/>
            </w:tcMar>
            <w:vAlign w:val="center"/>
          </w:tcPr>
          <w:p>
            <w:r>
              <w:rPr>
                <w:b/>
                <w:bCs/>
                <w:color w:val="FFFFFF"/>
                <w:sz w:val="20"/>
                <w:szCs w:val="20"/>
              </w:rPr>
              <w:t xml:space="preserve">Strategy Used</w:t>
            </w:r>
          </w:p>
        </w:tc>
      </w:tr>
      <w:tr>
        <w:tc>
          <w:tcPr>
            <w:tcW w:type="dxa" w:w="2900"/>
            <w:shd w:fill="F2F6FA" w:val="clear"/>
            <w:tcMar>
              <w:top w:type="dxa" w:w="80"/>
              <w:left w:type="dxa" w:w="100"/>
              <w:bottom w:type="dxa" w:w="80"/>
              <w:right w:type="dxa" w:w="100"/>
            </w:tcMar>
            <w:vAlign w:val="center"/>
          </w:tcPr>
          <w:p>
            <w:r>
              <w:rPr>
                <w:b w:val="false"/>
                <w:bCs w:val="false"/>
                <w:color w:val="000000"/>
                <w:sz w:val="20"/>
                <w:szCs w:val="20"/>
              </w:rPr>
              <w:t xml:space="preserve">Inconsistent category labels across publishers</w:t>
            </w:r>
          </w:p>
        </w:tc>
        <w:tc>
          <w:tcPr>
            <w:tcW w:type="dxa" w:w="2900"/>
            <w:shd w:fill="F2F6FA" w:val="clear"/>
            <w:tcMar>
              <w:top w:type="dxa" w:w="80"/>
              <w:left w:type="dxa" w:w="100"/>
              <w:bottom w:type="dxa" w:w="80"/>
              <w:right w:type="dxa" w:w="100"/>
            </w:tcMar>
            <w:vAlign w:val="center"/>
          </w:tcPr>
          <w:p>
            <w:r>
              <w:rPr>
                <w:b w:val="false"/>
                <w:bCs w:val="false"/>
                <w:color w:val="000000"/>
                <w:sz w:val="20"/>
                <w:szCs w:val="20"/>
              </w:rPr>
              <w:t xml:space="preserve">Each statistical agency defines its own construction-type or region taxonomy</w:t>
            </w:r>
          </w:p>
        </w:tc>
        <w:tc>
          <w:tcPr>
            <w:tcW w:type="dxa" w:w="3100"/>
            <w:shd w:fill="F2F6FA" w:val="clear"/>
            <w:tcMar>
              <w:top w:type="dxa" w:w="80"/>
              <w:left w:type="dxa" w:w="100"/>
              <w:bottom w:type="dxa" w:w="80"/>
              <w:right w:type="dxa" w:w="100"/>
            </w:tcMar>
            <w:vAlign w:val="center"/>
          </w:tcPr>
          <w:p>
            <w:r>
              <w:rPr>
                <w:b w:val="false"/>
                <w:bCs w:val="false"/>
                <w:color w:val="000000"/>
                <w:sz w:val="20"/>
                <w:szCs w:val="20"/>
              </w:rPr>
              <w:t xml:space="preserve">Central mapping/dimension table maintained in Power Query, referenced by every source query</w:t>
            </w:r>
          </w:p>
        </w:tc>
      </w:tr>
      <w:tr>
        <w:tc>
          <w:tcPr>
            <w:tcW w:type="dxa" w:w="2900"/>
            <w:shd w:fill="F2F6FA" w:val="clear"/>
            <w:tcMar>
              <w:top w:type="dxa" w:w="80"/>
              <w:left w:type="dxa" w:w="100"/>
              <w:bottom w:type="dxa" w:w="80"/>
              <w:right w:type="dxa" w:w="100"/>
            </w:tcMar>
            <w:vAlign w:val="center"/>
          </w:tcPr>
          <w:p>
            <w:r>
              <w:rPr>
                <w:b w:val="false"/>
                <w:bCs w:val="false"/>
                <w:color w:val="000000"/>
                <w:sz w:val="20"/>
                <w:szCs w:val="20"/>
              </w:rPr>
              <w:t xml:space="preserve">Mixed time granularity (monthly vs. quarterly vs. annual)</w:t>
            </w:r>
          </w:p>
        </w:tc>
        <w:tc>
          <w:tcPr>
            <w:tcW w:type="dxa" w:w="2900"/>
            <w:shd w:fill="F2F6FA" w:val="clear"/>
            <w:tcMar>
              <w:top w:type="dxa" w:w="80"/>
              <w:left w:type="dxa" w:w="100"/>
              <w:bottom w:type="dxa" w:w="80"/>
              <w:right w:type="dxa" w:w="100"/>
            </w:tcMar>
            <w:vAlign w:val="center"/>
          </w:tcPr>
          <w:p>
            <w:r>
              <w:rPr>
                <w:b w:val="false"/>
                <w:bCs w:val="false"/>
                <w:color w:val="000000"/>
                <w:sz w:val="20"/>
                <w:szCs w:val="20"/>
              </w:rPr>
              <w:t xml:space="preserve">Agencies publish on different release cycles</w:t>
            </w:r>
          </w:p>
        </w:tc>
        <w:tc>
          <w:tcPr>
            <w:tcW w:type="dxa" w:w="3100"/>
            <w:shd w:fill="F2F6FA" w:val="clear"/>
            <w:tcMar>
              <w:top w:type="dxa" w:w="80"/>
              <w:left w:type="dxa" w:w="100"/>
              <w:bottom w:type="dxa" w:w="80"/>
              <w:right w:type="dxa" w:w="100"/>
            </w:tcMar>
            <w:vAlign w:val="center"/>
          </w:tcPr>
          <w:p>
            <w:r>
              <w:rPr>
                <w:b w:val="false"/>
                <w:bCs w:val="false"/>
                <w:color w:val="000000"/>
                <w:sz w:val="20"/>
                <w:szCs w:val="20"/>
              </w:rPr>
              <w:t xml:space="preserve">Aggregate finer-grained series up to the coarsest common period rather than interpolating downward</w:t>
            </w:r>
          </w:p>
        </w:tc>
      </w:tr>
      <w:tr>
        <w:tc>
          <w:tcPr>
            <w:tcW w:type="dxa" w:w="2900"/>
            <w:shd w:fill="F2F6FA" w:val="clear"/>
            <w:tcMar>
              <w:top w:type="dxa" w:w="80"/>
              <w:left w:type="dxa" w:w="100"/>
              <w:bottom w:type="dxa" w:w="80"/>
              <w:right w:type="dxa" w:w="100"/>
            </w:tcMar>
            <w:vAlign w:val="center"/>
          </w:tcPr>
          <w:p>
            <w:r>
              <w:rPr>
                <w:b w:val="false"/>
                <w:bCs w:val="false"/>
                <w:color w:val="000000"/>
                <w:sz w:val="20"/>
                <w:szCs w:val="20"/>
              </w:rPr>
              <w:t xml:space="preserve">Locale-specific formats (dates, decimal separators, currency)</w:t>
            </w:r>
          </w:p>
        </w:tc>
        <w:tc>
          <w:tcPr>
            <w:tcW w:type="dxa" w:w="2900"/>
            <w:shd w:fill="F2F6FA" w:val="clear"/>
            <w:tcMar>
              <w:top w:type="dxa" w:w="80"/>
              <w:left w:type="dxa" w:w="100"/>
              <w:bottom w:type="dxa" w:w="80"/>
              <w:right w:type="dxa" w:w="100"/>
            </w:tcMar>
            <w:vAlign w:val="center"/>
          </w:tcPr>
          <w:p>
            <w:r>
              <w:rPr>
                <w:b w:val="false"/>
                <w:bCs w:val="false"/>
                <w:color w:val="000000"/>
                <w:sz w:val="20"/>
                <w:szCs w:val="20"/>
              </w:rPr>
              <w:t xml:space="preserve">U.S., UK, and EU sources follow different regional conventions</w:t>
            </w:r>
          </w:p>
        </w:tc>
        <w:tc>
          <w:tcPr>
            <w:tcW w:type="dxa" w:w="3100"/>
            <w:shd w:fill="F2F6FA" w:val="clear"/>
            <w:tcMar>
              <w:top w:type="dxa" w:w="80"/>
              <w:left w:type="dxa" w:w="100"/>
              <w:bottom w:type="dxa" w:w="80"/>
              <w:right w:type="dxa" w:w="100"/>
            </w:tcMar>
            <w:vAlign w:val="center"/>
          </w:tcPr>
          <w:p>
            <w:r>
              <w:rPr>
                <w:b w:val="false"/>
                <w:bCs w:val="false"/>
                <w:color w:val="000000"/>
                <w:sz w:val="20"/>
                <w:szCs w:val="20"/>
              </w:rPr>
              <w:t xml:space="preserve">Explicit data-typing step per column immediately after import, before any calculation is built</w:t>
            </w:r>
          </w:p>
        </w:tc>
      </w:tr>
      <w:tr>
        <w:tc>
          <w:tcPr>
            <w:tcW w:type="dxa" w:w="2900"/>
            <w:shd w:fill="F2F6FA" w:val="clear"/>
            <w:tcMar>
              <w:top w:type="dxa" w:w="80"/>
              <w:left w:type="dxa" w:w="100"/>
              <w:bottom w:type="dxa" w:w="80"/>
              <w:right w:type="dxa" w:w="100"/>
            </w:tcMar>
            <w:vAlign w:val="center"/>
          </w:tcPr>
          <w:p>
            <w:r>
              <w:rPr>
                <w:b w:val="false"/>
                <w:bCs w:val="false"/>
                <w:color w:val="000000"/>
                <w:sz w:val="20"/>
                <w:szCs w:val="20"/>
              </w:rPr>
              <w:t xml:space="preserve">Missing or suppressed values in small-sample periods</w:t>
            </w:r>
          </w:p>
        </w:tc>
        <w:tc>
          <w:tcPr>
            <w:tcW w:type="dxa" w:w="2900"/>
            <w:shd w:fill="F2F6FA" w:val="clear"/>
            <w:tcMar>
              <w:top w:type="dxa" w:w="80"/>
              <w:left w:type="dxa" w:w="100"/>
              <w:bottom w:type="dxa" w:w="80"/>
              <w:right w:type="dxa" w:w="100"/>
            </w:tcMar>
            <w:vAlign w:val="center"/>
          </w:tcPr>
          <w:p>
            <w:r>
              <w:rPr>
                <w:b w:val="false"/>
                <w:bCs w:val="false"/>
                <w:color w:val="000000"/>
                <w:sz w:val="20"/>
                <w:szCs w:val="20"/>
              </w:rPr>
              <w:t xml:space="preserve">Agencies suppress low-count cells for disclosure control</w:t>
            </w:r>
          </w:p>
        </w:tc>
        <w:tc>
          <w:tcPr>
            <w:tcW w:type="dxa" w:w="3100"/>
            <w:shd w:fill="F2F6FA" w:val="clear"/>
            <w:tcMar>
              <w:top w:type="dxa" w:w="80"/>
              <w:left w:type="dxa" w:w="100"/>
              <w:bottom w:type="dxa" w:w="80"/>
              <w:right w:type="dxa" w:w="100"/>
            </w:tcMar>
            <w:vAlign w:val="center"/>
          </w:tcPr>
          <w:p>
            <w:r>
              <w:rPr>
                <w:b w:val="false"/>
                <w:bCs w:val="false"/>
                <w:color w:val="000000"/>
                <w:sz w:val="20"/>
                <w:szCs w:val="20"/>
              </w:rPr>
              <w:t xml:space="preserve">Preserve nulls and surface them explicitly in visuals rather than substituting zeros, which would understate totals</w:t>
            </w:r>
          </w:p>
        </w:tc>
      </w:tr>
      <w:tr>
        <w:tc>
          <w:tcPr>
            <w:tcW w:type="dxa" w:w="2900"/>
            <w:shd w:fill="F2F6FA" w:val="clear"/>
            <w:tcMar>
              <w:top w:type="dxa" w:w="80"/>
              <w:left w:type="dxa" w:w="100"/>
              <w:bottom w:type="dxa" w:w="80"/>
              <w:right w:type="dxa" w:w="100"/>
            </w:tcMar>
            <w:vAlign w:val="center"/>
          </w:tcPr>
          <w:p>
            <w:r>
              <w:rPr>
                <w:b w:val="false"/>
                <w:bCs w:val="false"/>
                <w:color w:val="000000"/>
                <w:sz w:val="20"/>
                <w:szCs w:val="20"/>
              </w:rPr>
              <w:t xml:space="preserve">API rate limits and schema drift</w:t>
            </w:r>
          </w:p>
        </w:tc>
        <w:tc>
          <w:tcPr>
            <w:tcW w:type="dxa" w:w="2900"/>
            <w:shd w:fill="F2F6FA" w:val="clear"/>
            <w:tcMar>
              <w:top w:type="dxa" w:w="80"/>
              <w:left w:type="dxa" w:w="100"/>
              <w:bottom w:type="dxa" w:w="80"/>
              <w:right w:type="dxa" w:w="100"/>
            </w:tcMar>
            <w:vAlign w:val="center"/>
          </w:tcPr>
          <w:p>
            <w:r>
              <w:rPr>
                <w:b w:val="false"/>
                <w:bCs w:val="false"/>
                <w:color w:val="000000"/>
                <w:sz w:val="20"/>
                <w:szCs w:val="20"/>
              </w:rPr>
              <w:t xml:space="preserve">Public APIs (e.g., BLS) throttle requests and occasionally change field names</w:t>
            </w:r>
          </w:p>
        </w:tc>
        <w:tc>
          <w:tcPr>
            <w:tcW w:type="dxa" w:w="3100"/>
            <w:shd w:fill="F2F6FA" w:val="clear"/>
            <w:tcMar>
              <w:top w:type="dxa" w:w="80"/>
              <w:left w:type="dxa" w:w="100"/>
              <w:bottom w:type="dxa" w:w="80"/>
              <w:right w:type="dxa" w:w="100"/>
            </w:tcMar>
            <w:vAlign w:val="center"/>
          </w:tcPr>
          <w:p>
            <w:r>
              <w:rPr>
                <w:b w:val="false"/>
                <w:bCs w:val="false"/>
                <w:color w:val="000000"/>
                <w:sz w:val="20"/>
                <w:szCs w:val="20"/>
              </w:rPr>
              <w:t xml:space="preserve">Stage raw API pulls in dated snapshot tables; parameterise queries and add defensive column-existence checks in Power Query</w:t>
            </w:r>
          </w:p>
        </w:tc>
      </w:tr>
      <w:tr>
        <w:tc>
          <w:tcPr>
            <w:tcW w:type="dxa" w:w="2900"/>
            <w:shd w:fill="F2F6FA" w:val="clear"/>
            <w:tcMar>
              <w:top w:type="dxa" w:w="80"/>
              <w:left w:type="dxa" w:w="100"/>
              <w:bottom w:type="dxa" w:w="80"/>
              <w:right w:type="dxa" w:w="100"/>
            </w:tcMar>
            <w:vAlign w:val="center"/>
          </w:tcPr>
          <w:p>
            <w:r>
              <w:rPr>
                <w:b w:val="false"/>
                <w:bCs w:val="false"/>
                <w:color w:val="000000"/>
                <w:sz w:val="20"/>
                <w:szCs w:val="20"/>
              </w:rPr>
              <w:t xml:space="preserve">No single dataset spans cost, productivity, and schedule at project level</w:t>
            </w:r>
          </w:p>
        </w:tc>
        <w:tc>
          <w:tcPr>
            <w:tcW w:type="dxa" w:w="2900"/>
            <w:shd w:fill="F2F6FA" w:val="clear"/>
            <w:tcMar>
              <w:top w:type="dxa" w:w="80"/>
              <w:left w:type="dxa" w:w="100"/>
              <w:bottom w:type="dxa" w:w="80"/>
              <w:right w:type="dxa" w:w="100"/>
            </w:tcMar>
            <w:vAlign w:val="center"/>
          </w:tcPr>
          <w:p>
            <w:r>
              <w:rPr>
                <w:b w:val="false"/>
                <w:bCs w:val="false"/>
                <w:color w:val="000000"/>
                <w:sz w:val="20"/>
                <w:szCs w:val="20"/>
              </w:rPr>
              <w:t xml:space="preserve">Public sources are agency-specific, not integrated by design</w:t>
            </w:r>
          </w:p>
        </w:tc>
        <w:tc>
          <w:tcPr>
            <w:tcW w:type="dxa" w:w="3100"/>
            <w:shd w:fill="F2F6FA" w:val="clear"/>
            <w:tcMar>
              <w:top w:type="dxa" w:w="80"/>
              <w:left w:type="dxa" w:w="100"/>
              <w:bottom w:type="dxa" w:w="80"/>
              <w:right w:type="dxa" w:w="100"/>
            </w:tcMar>
            <w:vAlign w:val="center"/>
          </w:tcPr>
          <w:p>
            <w:r>
              <w:rPr>
                <w:b w:val="false"/>
                <w:bCs w:val="false"/>
                <w:color w:val="000000"/>
                <w:sz w:val="20"/>
                <w:szCs w:val="20"/>
              </w:rPr>
              <w:t xml:space="preserve">Star-schema design bridging sources through shared Date, Region, and Construction-Type dimensions rather than forcing a single flat table</w:t>
            </w:r>
          </w:p>
        </w:tc>
      </w:tr>
    </w:tbl>
    <w:p>
      <w:pPr>
        <w:pStyle w:val="Heading1"/>
        <w:pBdr>
          <w:bottom w:val="single" w:color="2E74B5" w:sz="6" w:space="4"/>
        </w:pBdr>
        <w:spacing w:after="160" w:before="360"/>
      </w:pPr>
      <w:r>
        <w:rPr>
          <w:b/>
          <w:bCs/>
          <w:color w:val="1F3864"/>
          <w:sz w:val="30"/>
          <w:szCs w:val="30"/>
        </w:rPr>
        <w:t xml:space="preserve">6. Conclusion</w:t>
      </w:r>
    </w:p>
    <w:p>
      <w:pPr>
        <w:spacing w:after="160" w:line="300"/>
        <w:jc w:val="both"/>
      </w:pPr>
      <w:r>
        <w:rPr>
          <w:sz w:val="21"/>
          <w:szCs w:val="21"/>
        </w:rPr>
        <w:t xml:space="preserve">This process demonstrates that a credible, analysis-ready construction data pipeline can be assembled entirely from public, non-proprietary sources: government construction-spending and productivity releases, open procurement datasets, and community-published sample data. The pipeline follows a repeatable pattern — source, import via the matching Power Query connector, cleanse for nulls and type consistency, normalise units and categories, and bridge sources through shared dimension tables into a star schema. This structure is deliberately the same one the Week 1 strategic plan assumed for the semantic and presentation layers, so the KPIs defined there (CPI, SPI, cost-to-complete, productivity, and schedule variance) can be calculated directly on top of the model produced by this pipeline.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Construction Metrics — Data Sourcing &amp; Transformation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260"/>
      </w:pPr>
    </w:lvl>
  </w:abstractNum>
  <w:abstractNum w:abstractNumId="4"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2026-09-25T04:50:16.499Z</dcterms:created>
  <dcterms:modified xsi:type="dcterms:W3CDTF">2026-09-25T04:50:16.499Z</dcterms:modified>
</cp:coreProperties>
</file>

<file path=docProps/custom.xml><?xml version="1.0" encoding="utf-8"?>
<Properties xmlns="http://schemas.openxmlformats.org/officeDocument/2006/custom-properties" xmlns:vt="http://schemas.openxmlformats.org/officeDocument/2006/docPropsVTypes"/>
</file>