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STRATEGIC PLAN</w:t>
      </w:r>
    </w:p>
    <w:p>
      <w:pPr>
        <w:spacing w:after="400"/>
        <w:jc w:val="center"/>
      </w:pPr>
      <w:r>
        <w:rPr>
          <w:b/>
          <w:bCs/>
          <w:color w:val="2E74B5"/>
          <w:sz w:val="32"/>
          <w:szCs w:val="32"/>
        </w:rPr>
        <w:t xml:space="preserve">Virtual Construction Business Intelligence Operation</w:t>
      </w:r>
    </w:p>
    <w:p>
      <w:pPr>
        <w:spacing w:after="100"/>
        <w:jc w:val="center"/>
      </w:pPr>
      <w:r>
        <w:rPr>
          <w:i/>
          <w:iCs/>
          <w:color w:val="595959"/>
          <w:sz w:val="24"/>
          <w:szCs w:val="24"/>
        </w:rPr>
        <w:t xml:space="preserve">Powered by Microsoft Power BI</w:t>
      </w:r>
    </w:p>
    <w:p>
      <w:pPr>
        <w:spacing w:after="60" w:before="1200"/>
        <w:jc w:val="center"/>
      </w:pPr>
      <w:r>
        <w:rPr>
          <w:sz w:val="22"/>
          <w:szCs w:val="22"/>
        </w:rPr>
        <w:t xml:space="preserve">Prepared by: Harsh Mishra</w:t>
      </w:r>
    </w:p>
    <w:p>
      <w:pPr>
        <w:spacing w:after="60"/>
        <w:jc w:val="center"/>
      </w:pPr>
      <w:r>
        <w:rPr>
          <w:sz w:val="22"/>
          <w:szCs w:val="22"/>
        </w:rPr>
        <w:t xml:space="preserve">Week 1 Task — Strategic Planning Deliverable</w:t>
      </w:r>
    </w:p>
    <w:p>
      <w:pPr>
        <w:spacing w:after="60"/>
        <w:jc w:val="center"/>
      </w:pPr>
      <w:r>
        <w:rPr>
          <w:color w:val="595959"/>
          <w:sz w:val="22"/>
          <w:szCs w:val="22"/>
        </w:rPr>
        <w:t xml:space="preserve">September 2026</w:t>
      </w:r>
    </w:p>
    <w:p>
      <w:r>
        <w:br w:type="page"/>
      </w:r>
    </w:p>
    <w:p>
      <w:pPr>
        <w:pStyle w:val="Heading1"/>
        <w:pBdr>
          <w:bottom w:val="single" w:color="2E74B5" w:sz="6" w:space="4"/>
        </w:pBdr>
        <w:spacing w:after="160" w:before="360"/>
      </w:pPr>
      <w:r>
        <w:rPr>
          <w:b/>
          <w:bCs/>
          <w:color w:val="1F3864"/>
          <w:sz w:val="30"/>
          <w:szCs w:val="30"/>
        </w:rPr>
        <w:t xml:space="preserve">1. Executive Summary</w:t>
      </w:r>
    </w:p>
    <w:p>
      <w:pPr>
        <w:spacing w:after="160" w:line="300"/>
        <w:jc w:val="both"/>
      </w:pPr>
      <w:r>
        <w:rPr>
          <w:sz w:val="21"/>
          <w:szCs w:val="21"/>
        </w:rPr>
        <w:t xml:space="preserve">This strategic plan outlines the early-stage planning for a virtual construction business intelligence (BI) operation built on Microsoft Power BI. The construction industry generates enormous volumes of data across estimating, scheduling, procurement, field execution, safety, and finance, yet most of this data remains fragmented across spreadsheets, ERP systems, and point solutions. The objective of this plan is to define a coherent path from raw, siloed project data to a governed, decision-ready analytics layer that construction firms, EPC contractors, and real-estate developers can use to control cost, protect schedule, and improve safety outcomes.</w:t>
      </w:r>
    </w:p>
    <w:p>
      <w:pPr>
        <w:spacing w:after="160" w:line="300"/>
        <w:jc w:val="both"/>
      </w:pPr>
      <w:r>
        <w:rPr>
          <w:sz w:val="21"/>
          <w:szCs w:val="21"/>
        </w:rPr>
        <w:t xml:space="preserve">The plan is organised into five parts: a market analysis of the construction-BI landscape, a review of technology and tool choices centred on Power BI, a set of business objectives and KPIs, a phased roadmap for rolling out the offering, and three detailed use-case scenarios that demonstrate the value proposition to prospective clients. The estimated effort for this planning phase is 30–35 hours, covering research, framework design, and documentation.</w:t>
      </w:r>
    </w:p>
    <w:p>
      <w:pPr>
        <w:pStyle w:val="Heading1"/>
        <w:pBdr>
          <w:bottom w:val="single" w:color="2E74B5" w:sz="6" w:space="4"/>
        </w:pBdr>
        <w:spacing w:after="160" w:before="360"/>
      </w:pPr>
      <w:r>
        <w:rPr>
          <w:b/>
          <w:bCs/>
          <w:color w:val="1F3864"/>
          <w:sz w:val="30"/>
          <w:szCs w:val="30"/>
        </w:rPr>
        <w:t xml:space="preserve">2. Market Analysis</w:t>
      </w:r>
    </w:p>
    <w:p>
      <w:pPr>
        <w:pStyle w:val="Heading2"/>
        <w:spacing w:after="120" w:before="260"/>
      </w:pPr>
      <w:r>
        <w:rPr>
          <w:b/>
          <w:bCs/>
          <w:color w:val="2E74B5"/>
          <w:sz w:val="24"/>
          <w:szCs w:val="24"/>
        </w:rPr>
        <w:t xml:space="preserve">2.1 Industry Context and Size</w:t>
      </w:r>
    </w:p>
    <w:p>
      <w:pPr>
        <w:spacing w:after="160" w:line="300"/>
        <w:jc w:val="both"/>
      </w:pPr>
      <w:r>
        <w:rPr>
          <w:sz w:val="21"/>
          <w:szCs w:val="21"/>
        </w:rPr>
        <w:t xml:space="preserve">The global construction industry remains one of the largest and least digitised sectors of the economy. In the United States alone the industry is valued at roughly $3.5 trillion in 2026, spread across an estimated 4 million businesses, and it continues to grow at a modest compound annual rate of around 1.5% between 2021 and 2026. At the same time, technology-led segments of construction — particularly data-centre construction and advanced manufacturing facilities — are expanding far faster than traditional residential and commercial building, which are experiencing slower momentum due to financing constraints and softer investor confidence.</w:t>
      </w:r>
    </w:p>
    <w:p>
      <w:pPr>
        <w:spacing w:after="160" w:line="300"/>
        <w:jc w:val="both"/>
      </w:pPr>
      <w:r>
        <w:rPr>
          <w:sz w:val="21"/>
          <w:szCs w:val="21"/>
        </w:rPr>
        <w:t xml:space="preserve">Layered on top of this base market is a much faster-growing analytics and automation layer. Independent market estimates place the AI-in-construction market at roughly $3 billion in 2026, projected to grow at a compound annual rate in the range of 30–33% through 2030, driven by adoption of predictive analytics, cloud-native data platforms, and automation to close labour and skills gaps. This creates a clear window of opportunity: firms that can turn fragmented project data into a single, trustworthy source of truth are positioned to capture disproportionate value as digitisation accelerates.</w:t>
      </w:r>
    </w:p>
    <w:p>
      <w:pPr>
        <w:pStyle w:val="Heading2"/>
        <w:spacing w:after="120" w:before="260"/>
      </w:pPr>
      <w:r>
        <w:rPr>
          <w:b/>
          <w:bCs/>
          <w:color w:val="2E74B5"/>
          <w:sz w:val="24"/>
          <w:szCs w:val="24"/>
        </w:rPr>
        <w:t xml:space="preserve">2.2 Growth Opportunities</w:t>
      </w:r>
    </w:p>
    <w:p>
      <w:pPr>
        <w:pStyle w:val="ListParagraph"/>
        <w:numPr>
          <w:ilvl w:val="0"/>
          <w:numId w:val="2"/>
        </w:numPr>
        <w:spacing w:after="80"/>
      </w:pPr>
      <w:r>
        <w:rPr>
          <w:sz w:val="21"/>
          <w:szCs w:val="21"/>
        </w:rPr>
        <w:t xml:space="preserve">Data-centre and infrastructure construction is scaling rapidly on the back of sustained AI and digital-infrastructure demand, creating a pipeline of large, data-rich projects well suited to BI adoption.</w:t>
      </w:r>
    </w:p>
    <w:p>
      <w:pPr>
        <w:pStyle w:val="ListParagraph"/>
        <w:numPr>
          <w:ilvl w:val="0"/>
          <w:numId w:val="2"/>
        </w:numPr>
        <w:spacing w:after="80"/>
      </w:pPr>
      <w:r>
        <w:rPr>
          <w:sz w:val="21"/>
          <w:szCs w:val="21"/>
        </w:rPr>
        <w:t xml:space="preserve">Labour shortages and tightening safety mandates are pushing contractors toward predictive analytics and automation to close operational gaps.</w:t>
      </w:r>
    </w:p>
    <w:p>
      <w:pPr>
        <w:pStyle w:val="ListParagraph"/>
        <w:numPr>
          <w:ilvl w:val="0"/>
          <w:numId w:val="2"/>
        </w:numPr>
        <w:spacing w:after="80"/>
      </w:pPr>
      <w:r>
        <w:rPr>
          <w:sz w:val="21"/>
          <w:szCs w:val="21"/>
        </w:rPr>
        <w:t xml:space="preserve">Fragmented, multi-source data (ERP, scheduling, BIM, timesheets, subcontractor invoices) is a persistent pain point — this is precisely the gap a Power BI-centred consolidation layer can fill.</w:t>
      </w:r>
    </w:p>
    <w:p>
      <w:pPr>
        <w:pStyle w:val="ListParagraph"/>
        <w:numPr>
          <w:ilvl w:val="0"/>
          <w:numId w:val="2"/>
        </w:numPr>
        <w:spacing w:after="80"/>
      </w:pPr>
      <w:r>
        <w:rPr>
          <w:sz w:val="21"/>
          <w:szCs w:val="21"/>
        </w:rPr>
        <w:t xml:space="preserve">Regulatory, tariff and material-cost volatility mean that firms need faster, more current signal on cost drivers than annual reports or manual spreadsheets can provide.</w:t>
      </w:r>
    </w:p>
    <w:p>
      <w:pPr>
        <w:pStyle w:val="Heading2"/>
        <w:spacing w:after="120" w:before="260"/>
      </w:pPr>
      <w:r>
        <w:rPr>
          <w:b/>
          <w:bCs/>
          <w:color w:val="2E74B5"/>
          <w:sz w:val="24"/>
          <w:szCs w:val="24"/>
        </w:rPr>
        <w:t xml:space="preserve">2.3 Key Challenges</w:t>
      </w:r>
    </w:p>
    <w:p>
      <w:pPr>
        <w:pStyle w:val="ListParagraph"/>
        <w:numPr>
          <w:ilvl w:val="0"/>
          <w:numId w:val="2"/>
        </w:numPr>
        <w:spacing w:after="80"/>
      </w:pPr>
      <w:r>
        <w:rPr>
          <w:sz w:val="21"/>
          <w:szCs w:val="21"/>
        </w:rPr>
        <w:t xml:space="preserve">Construction remains one of the least digitised major industries, so raw data quality and system fragmentation are the biggest technical barriers to BI adoption.</w:t>
      </w:r>
    </w:p>
    <w:p>
      <w:pPr>
        <w:pStyle w:val="ListParagraph"/>
        <w:numPr>
          <w:ilvl w:val="0"/>
          <w:numId w:val="2"/>
        </w:numPr>
        <w:spacing w:after="80"/>
      </w:pPr>
      <w:r>
        <w:rPr>
          <w:sz w:val="21"/>
          <w:szCs w:val="21"/>
        </w:rPr>
        <w:t xml:space="preserve">Construction inflation is expected to rise modestly (roughly 4.2% in 2025 to about 4.5% thereafter) before flattening, keeping margin pressure high and making real-time cost visibility commercially important.</w:t>
      </w:r>
    </w:p>
    <w:p>
      <w:pPr>
        <w:pStyle w:val="ListParagraph"/>
        <w:numPr>
          <w:ilvl w:val="0"/>
          <w:numId w:val="2"/>
        </w:numPr>
        <w:spacing w:after="80"/>
      </w:pPr>
      <w:r>
        <w:rPr>
          <w:sz w:val="21"/>
          <w:szCs w:val="21"/>
        </w:rPr>
        <w:t xml:space="preserve">Multiple stakeholders (owners, general contractors, subcontractors, project managers) each use different systems, so data governance and access control are as important as the dashboards themselves.</w:t>
      </w:r>
    </w:p>
    <w:p>
      <w:pPr>
        <w:pStyle w:val="ListParagraph"/>
        <w:numPr>
          <w:ilvl w:val="0"/>
          <w:numId w:val="2"/>
        </w:numPr>
        <w:spacing w:after="80"/>
      </w:pPr>
      <w:r>
        <w:rPr>
          <w:sz w:val="21"/>
          <w:szCs w:val="21"/>
        </w:rPr>
        <w:t xml:space="preserve">Smaller contractors often lack in-house data engineering capacity, meaning the offering must minimise the technical burden of onboarding (connectors, templates, guided setup).</w:t>
      </w:r>
    </w:p>
    <w:p>
      <w:pPr>
        <w:pStyle w:val="Heading1"/>
        <w:pBdr>
          <w:bottom w:val="single" w:color="2E74B5" w:sz="6" w:space="4"/>
        </w:pBdr>
        <w:spacing w:after="160" w:before="360"/>
      </w:pPr>
      <w:r>
        <w:rPr>
          <w:b/>
          <w:bCs/>
          <w:color w:val="1F3864"/>
          <w:sz w:val="30"/>
          <w:szCs w:val="30"/>
        </w:rPr>
        <w:t xml:space="preserve">3. Technology and Tool Selection</w:t>
      </w:r>
    </w:p>
    <w:p>
      <w:pPr>
        <w:pStyle w:val="Heading2"/>
        <w:spacing w:after="120" w:before="260"/>
      </w:pPr>
      <w:r>
        <w:rPr>
          <w:b/>
          <w:bCs/>
          <w:color w:val="2E74B5"/>
          <w:sz w:val="24"/>
          <w:szCs w:val="24"/>
        </w:rPr>
        <w:t xml:space="preserve">3.1 Why Power BI</w:t>
      </w:r>
    </w:p>
    <w:p>
      <w:pPr>
        <w:spacing w:after="160" w:line="300"/>
        <w:jc w:val="both"/>
      </w:pPr>
      <w:r>
        <w:rPr>
          <w:sz w:val="21"/>
          <w:szCs w:val="21"/>
        </w:rPr>
        <w:t xml:space="preserve">Power BI is selected as the core analytics platform because of its native ability to connect to the wide variety of systems already used on construction projects — ERP and accounting platforms, BIM and scheduling tools, timesheet systems, spreadsheets, and cloud services such as Azure SQL Database and Blob Storage, as well as third-party databases like MySQL, PostgreSQL, and Oracle. Its Power Query engine handles the data cleaning, de-duplication, and merging that construction data typically needs before it can be trusted, and its DAX layer allows construction-specific metrics (cost per square metre, cost/schedule performance indices, delay percentages) to be calculated consistently across projects.</w:t>
      </w:r>
    </w:p>
    <w:p>
      <w:pPr>
        <w:pStyle w:val="Heading2"/>
        <w:spacing w:after="120" w:before="260"/>
      </w:pPr>
      <w:r>
        <w:rPr>
          <w:b/>
          <w:bCs/>
          <w:color w:val="2E74B5"/>
          <w:sz w:val="24"/>
          <w:szCs w:val="24"/>
        </w:rPr>
        <w:t xml:space="preserve">3.2 Reference Architecture</w:t>
      </w:r>
    </w:p>
    <w:p>
      <w:pPr>
        <w:spacing w:after="160" w:line="300"/>
        <w:jc w:val="both"/>
      </w:pPr>
      <w:r>
        <w:rPr>
          <w:sz w:val="21"/>
          <w:szCs w:val="21"/>
        </w:rPr>
        <w:t xml:space="preserve">The proposed architecture follows a standard four-layer BI pattern adapted to construction data sources:</w:t>
      </w:r>
    </w:p>
    <w:p>
      <w:pPr>
        <w:pStyle w:val="ListParagraph"/>
        <w:numPr>
          <w:ilvl w:val="0"/>
          <w:numId w:val="3"/>
        </w:numPr>
        <w:spacing w:after="80"/>
      </w:pPr>
      <w:r>
        <w:rPr>
          <w:sz w:val="21"/>
          <w:szCs w:val="21"/>
        </w:rPr>
        <w:t xml:space="preserve">Ingestion layer — connectors to ERP/accounting systems, project management and scheduling tools, BIM exports, timesheet and payroll systems, field-report and safety-incident logs, and equipment/IoT feeds.</w:t>
      </w:r>
    </w:p>
    <w:p>
      <w:pPr>
        <w:pStyle w:val="ListParagraph"/>
        <w:numPr>
          <w:ilvl w:val="0"/>
          <w:numId w:val="3"/>
        </w:numPr>
        <w:spacing w:after="80"/>
      </w:pPr>
      <w:r>
        <w:rPr>
          <w:sz w:val="21"/>
          <w:szCs w:val="21"/>
        </w:rPr>
        <w:t xml:space="preserve">Transformation layer — Power Query pipelines to clean, de-duplicate, and standardise data (currency normalisation, unit conversion, code mapping) and a project-centric data model with clear relationships between cost, schedule, and resource entities.</w:t>
      </w:r>
    </w:p>
    <w:p>
      <w:pPr>
        <w:pStyle w:val="ListParagraph"/>
        <w:numPr>
          <w:ilvl w:val="0"/>
          <w:numId w:val="3"/>
        </w:numPr>
        <w:spacing w:after="80"/>
      </w:pPr>
      <w:r>
        <w:rPr>
          <w:sz w:val="21"/>
          <w:szCs w:val="21"/>
        </w:rPr>
        <w:t xml:space="preserve">Semantic / metrics layer — DAX measures for construction-specific KPIs (CPI, SPI, cost-to-complete, WIP, utilisation rates) so every dashboard draws on one governed definition rather than ad-hoc spreadsheet formulas.</w:t>
      </w:r>
    </w:p>
    <w:p>
      <w:pPr>
        <w:pStyle w:val="ListParagraph"/>
        <w:numPr>
          <w:ilvl w:val="0"/>
          <w:numId w:val="3"/>
        </w:numPr>
        <w:spacing w:after="80"/>
      </w:pPr>
      <w:r>
        <w:rPr>
          <w:sz w:val="21"/>
          <w:szCs w:val="21"/>
        </w:rPr>
        <w:t xml:space="preserve">Presentation layer — role-based Power BI dashboards (executive, financial, project/site, HR) published through the Power BI Service, with row-level security so each stakeholder sees only the projects and cost data relevant to them.</w:t>
      </w:r>
    </w:p>
    <w:p>
      <w:pPr>
        <w:pStyle w:val="Heading2"/>
        <w:spacing w:after="120" w:before="260"/>
      </w:pPr>
      <w:r>
        <w:rPr>
          <w:b/>
          <w:bCs/>
          <w:color w:val="2E74B5"/>
          <w:sz w:val="24"/>
          <w:szCs w:val="24"/>
        </w:rPr>
        <w:t xml:space="preserve">3.3 Tooling and Governance Considerations</w:t>
      </w:r>
    </w:p>
    <w:p>
      <w:pPr>
        <w:pStyle w:val="ListParagraph"/>
        <w:numPr>
          <w:ilvl w:val="0"/>
          <w:numId w:val="2"/>
        </w:numPr>
        <w:spacing w:after="80"/>
      </w:pPr>
      <w:r>
        <w:rPr>
          <w:sz w:val="21"/>
          <w:szCs w:val="21"/>
        </w:rPr>
        <w:t xml:space="preserve">Power BI Service for publishing, scheduled refresh, and secure sharing with project teams and external stakeholders.</w:t>
      </w:r>
    </w:p>
    <w:p>
      <w:pPr>
        <w:pStyle w:val="ListParagraph"/>
        <w:numPr>
          <w:ilvl w:val="0"/>
          <w:numId w:val="2"/>
        </w:numPr>
        <w:spacing w:after="80"/>
      </w:pPr>
      <w:r>
        <w:rPr>
          <w:sz w:val="21"/>
          <w:szCs w:val="21"/>
        </w:rPr>
        <w:t xml:space="preserve">Power BI Gateway for on-premises ERP or file-server data where cloud migration is not yet complete.</w:t>
      </w:r>
    </w:p>
    <w:p>
      <w:pPr>
        <w:pStyle w:val="ListParagraph"/>
        <w:numPr>
          <w:ilvl w:val="0"/>
          <w:numId w:val="2"/>
        </w:numPr>
        <w:spacing w:after="80"/>
      </w:pPr>
      <w:r>
        <w:rPr>
          <w:sz w:val="21"/>
          <w:szCs w:val="21"/>
        </w:rPr>
        <w:t xml:space="preserve">Row-level security and workspace segmentation so subcontractors and owners see only their contracted scope.</w:t>
      </w:r>
    </w:p>
    <w:p>
      <w:pPr>
        <w:pStyle w:val="ListParagraph"/>
        <w:numPr>
          <w:ilvl w:val="0"/>
          <w:numId w:val="2"/>
        </w:numPr>
        <w:spacing w:after="80"/>
      </w:pPr>
      <w:r>
        <w:rPr>
          <w:sz w:val="21"/>
          <w:szCs w:val="21"/>
        </w:rPr>
        <w:t xml:space="preserve">A lightweight data dictionary and DAX measure library maintained centrally, so KPI definitions stay consistent as new dashboards are added.</w:t>
      </w:r>
    </w:p>
    <w:p>
      <w:pPr>
        <w:pStyle w:val="Heading1"/>
        <w:pBdr>
          <w:bottom w:val="single" w:color="2E74B5" w:sz="6" w:space="4"/>
        </w:pBdr>
        <w:spacing w:after="160" w:before="360"/>
      </w:pPr>
      <w:r>
        <w:rPr>
          <w:b/>
          <w:bCs/>
          <w:color w:val="1F3864"/>
          <w:sz w:val="30"/>
          <w:szCs w:val="30"/>
        </w:rPr>
        <w:t xml:space="preserve">4. Business Objectives and Key Performance Indicators</w:t>
      </w:r>
    </w:p>
    <w:p>
      <w:pPr>
        <w:spacing w:after="160" w:line="300"/>
        <w:jc w:val="both"/>
      </w:pPr>
      <w:r>
        <w:rPr>
          <w:sz w:val="21"/>
          <w:szCs w:val="21"/>
        </w:rPr>
        <w:t xml:space="preserve">The KPI framework is grouped by the audience that will consume it, mirroring the role-based dashboard structure recommended in Section 3. This keeps each dashboard focused and avoids overwhelming any single stakeholder with metrics outside their remit.</w:t>
      </w:r>
    </w:p>
    <w:p>
      <w:pPr>
        <w:pStyle w:val="Heading2"/>
        <w:spacing w:after="120" w:before="260"/>
      </w:pPr>
      <w:r>
        <w:rPr>
          <w:b/>
          <w:bCs/>
          <w:color w:val="2E74B5"/>
          <w:sz w:val="24"/>
          <w:szCs w:val="24"/>
        </w:rPr>
        <w:t xml:space="preserve">4.1 Executive / Strategic KPIs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700"/>
      </w:tblGrid>
      <w:tr>
        <w:tc>
          <w:tcPr>
            <w:tcW w:type="dxa" w:w="3200"/>
            <w:shd w:fill="1F3864" w:val="clear"/>
            <w:tcMar>
              <w:top w:type="dxa" w:w="80"/>
              <w:left w:type="dxa" w:w="100"/>
              <w:bottom w:type="dxa" w:w="80"/>
              <w:right w:type="dxa" w:w="100"/>
            </w:tcMar>
          </w:tcPr>
          <w:p>
            <w:r>
              <w:rPr>
                <w:b/>
                <w:bCs/>
                <w:color w:val="FFFFFF"/>
                <w:sz w:val="20"/>
                <w:szCs w:val="20"/>
              </w:rPr>
              <w:t xml:space="preserve">KPI</w:t>
            </w:r>
          </w:p>
        </w:tc>
        <w:tc>
          <w:tcPr>
            <w:tcW w:type="dxa" w:w="4200"/>
            <w:shd w:fill="1F3864" w:val="clear"/>
            <w:tcMar>
              <w:top w:type="dxa" w:w="80"/>
              <w:left w:type="dxa" w:w="100"/>
              <w:bottom w:type="dxa" w:w="80"/>
              <w:right w:type="dxa" w:w="100"/>
            </w:tcMar>
          </w:tcPr>
          <w:p>
            <w:r>
              <w:rPr>
                <w:b/>
                <w:bCs/>
                <w:color w:val="FFFFFF"/>
                <w:sz w:val="20"/>
                <w:szCs w:val="20"/>
              </w:rPr>
              <w:t xml:space="preserve">Definition</w:t>
            </w:r>
          </w:p>
        </w:tc>
        <w:tc>
          <w:tcPr>
            <w:tcW w:type="dxa" w:w="2700"/>
            <w:shd w:fill="1F3864" w:val="clear"/>
            <w:tcMar>
              <w:top w:type="dxa" w:w="80"/>
              <w:left w:type="dxa" w:w="100"/>
              <w:bottom w:type="dxa" w:w="80"/>
              <w:right w:type="dxa" w:w="100"/>
            </w:tcMar>
          </w:tcPr>
          <w:p>
            <w:r>
              <w:rPr>
                <w:b/>
                <w:bCs/>
                <w:color w:val="FFFFFF"/>
                <w:sz w:val="20"/>
                <w:szCs w:val="20"/>
              </w:rPr>
              <w:t xml:space="preserve">Business Objective Supported</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Overall Project Margin</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Net margin across the active project portfolio</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Protect profitability at the portfolio level</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Budget vs. Actual Variance</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Deviation of actual spend from approved budget</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Early warning on cost overruns</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Actual vs. Forecasted Revenue</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Comparison of billed/recognised revenue to forecast</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Improve revenue predictability for leadership</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Portfolio Schedule Health</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Share of projects on-time vs. delayed across the portfolio</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Prioritise executive attention on at-risk projects</w:t>
            </w:r>
          </w:p>
        </w:tc>
      </w:tr>
    </w:tbl>
    <w:p>
      <w:pPr>
        <w:pStyle w:val="Heading2"/>
        <w:spacing w:after="120" w:before="260"/>
      </w:pPr>
      <w:r>
        <w:rPr>
          <w:b/>
          <w:bCs/>
          <w:color w:val="2E74B5"/>
          <w:sz w:val="24"/>
          <w:szCs w:val="24"/>
        </w:rPr>
        <w:t xml:space="preserve">4.2 Financial KPIs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700"/>
      </w:tblGrid>
      <w:tr>
        <w:tc>
          <w:tcPr>
            <w:tcW w:type="dxa" w:w="3200"/>
            <w:shd w:fill="1F3864" w:val="clear"/>
            <w:tcMar>
              <w:top w:type="dxa" w:w="80"/>
              <w:left w:type="dxa" w:w="100"/>
              <w:bottom w:type="dxa" w:w="80"/>
              <w:right w:type="dxa" w:w="100"/>
            </w:tcMar>
          </w:tcPr>
          <w:p>
            <w:r>
              <w:rPr>
                <w:b/>
                <w:bCs/>
                <w:color w:val="FFFFFF"/>
                <w:sz w:val="20"/>
                <w:szCs w:val="20"/>
              </w:rPr>
              <w:t xml:space="preserve">KPI</w:t>
            </w:r>
          </w:p>
        </w:tc>
        <w:tc>
          <w:tcPr>
            <w:tcW w:type="dxa" w:w="4200"/>
            <w:shd w:fill="1F3864" w:val="clear"/>
            <w:tcMar>
              <w:top w:type="dxa" w:w="80"/>
              <w:left w:type="dxa" w:w="100"/>
              <w:bottom w:type="dxa" w:w="80"/>
              <w:right w:type="dxa" w:w="100"/>
            </w:tcMar>
          </w:tcPr>
          <w:p>
            <w:r>
              <w:rPr>
                <w:b/>
                <w:bCs/>
                <w:color w:val="FFFFFF"/>
                <w:sz w:val="20"/>
                <w:szCs w:val="20"/>
              </w:rPr>
              <w:t xml:space="preserve">Definition</w:t>
            </w:r>
          </w:p>
        </w:tc>
        <w:tc>
          <w:tcPr>
            <w:tcW w:type="dxa" w:w="2700"/>
            <w:shd w:fill="1F3864" w:val="clear"/>
            <w:tcMar>
              <w:top w:type="dxa" w:w="80"/>
              <w:left w:type="dxa" w:w="100"/>
              <w:bottom w:type="dxa" w:w="80"/>
              <w:right w:type="dxa" w:w="100"/>
            </w:tcMar>
          </w:tcPr>
          <w:p>
            <w:r>
              <w:rPr>
                <w:b/>
                <w:bCs/>
                <w:color w:val="FFFFFF"/>
                <w:sz w:val="20"/>
                <w:szCs w:val="20"/>
              </w:rPr>
              <w:t xml:space="preserve">Business Objective Supported</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Cost Performance Index (CPI)</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Earned value divided by actual cost</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Detect cost overruns early (Earned Value Management)</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Schedule Performance Index (SPI)</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Earned value divided by planned value</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Detect schedule slippage early</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Cost-to-Complete</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Remaining budget required to finish a project</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Support accurate cash-flow forecasting</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Billing &amp; Work-in-Progress (WIP)</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Status of billed vs. unbilled completed work</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Improve cash collection and reduce WIP leakage</w:t>
            </w:r>
          </w:p>
        </w:tc>
      </w:tr>
    </w:tbl>
    <w:p>
      <w:pPr>
        <w:pStyle w:val="Heading2"/>
        <w:spacing w:after="120" w:before="260"/>
      </w:pPr>
      <w:r>
        <w:rPr>
          <w:b/>
          <w:bCs/>
          <w:color w:val="2E74B5"/>
          <w:sz w:val="24"/>
          <w:szCs w:val="24"/>
        </w:rPr>
        <w:t xml:space="preserve">4.3 Operational / Project-Site KPIs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700"/>
      </w:tblGrid>
      <w:tr>
        <w:tc>
          <w:tcPr>
            <w:tcW w:type="dxa" w:w="3200"/>
            <w:shd w:fill="1F3864" w:val="clear"/>
            <w:tcMar>
              <w:top w:type="dxa" w:w="80"/>
              <w:left w:type="dxa" w:w="100"/>
              <w:bottom w:type="dxa" w:w="80"/>
              <w:right w:type="dxa" w:w="100"/>
            </w:tcMar>
          </w:tcPr>
          <w:p>
            <w:r>
              <w:rPr>
                <w:b/>
                <w:bCs/>
                <w:color w:val="FFFFFF"/>
                <w:sz w:val="20"/>
                <w:szCs w:val="20"/>
              </w:rPr>
              <w:t xml:space="preserve">KPI</w:t>
            </w:r>
          </w:p>
        </w:tc>
        <w:tc>
          <w:tcPr>
            <w:tcW w:type="dxa" w:w="4200"/>
            <w:shd w:fill="1F3864" w:val="clear"/>
            <w:tcMar>
              <w:top w:type="dxa" w:w="80"/>
              <w:left w:type="dxa" w:w="100"/>
              <w:bottom w:type="dxa" w:w="80"/>
              <w:right w:type="dxa" w:w="100"/>
            </w:tcMar>
          </w:tcPr>
          <w:p>
            <w:r>
              <w:rPr>
                <w:b/>
                <w:bCs/>
                <w:color w:val="FFFFFF"/>
                <w:sz w:val="20"/>
                <w:szCs w:val="20"/>
              </w:rPr>
              <w:t xml:space="preserve">Definition</w:t>
            </w:r>
          </w:p>
        </w:tc>
        <w:tc>
          <w:tcPr>
            <w:tcW w:type="dxa" w:w="2700"/>
            <w:shd w:fill="1F3864" w:val="clear"/>
            <w:tcMar>
              <w:top w:type="dxa" w:w="80"/>
              <w:left w:type="dxa" w:w="100"/>
              <w:bottom w:type="dxa" w:w="80"/>
              <w:right w:type="dxa" w:w="100"/>
            </w:tcMar>
          </w:tcPr>
          <w:p>
            <w:r>
              <w:rPr>
                <w:b/>
                <w:bCs/>
                <w:color w:val="FFFFFF"/>
                <w:sz w:val="20"/>
                <w:szCs w:val="20"/>
              </w:rPr>
              <w:t xml:space="preserve">Business Objective Supported</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Project Progress %</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Physical completion vs. planned completion</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Track delivery against the master schedule</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Planned vs. Actual Variance</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Gap between planned and actual task completion</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Trigger corrective site-management action</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Team Productivity / Hours Worked</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Output per labour-hour by crew or trade</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Improve labour deployment and reduce idle time</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Equipment Utilisation Rate</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Active vs. idle time for owned/rented equipment</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Reduce idle equipment cost</w:t>
            </w:r>
          </w:p>
        </w:tc>
      </w:tr>
    </w:tbl>
    <w:p>
      <w:pPr>
        <w:pStyle w:val="Heading2"/>
        <w:spacing w:after="120" w:before="260"/>
      </w:pPr>
      <w:r>
        <w:rPr>
          <w:b/>
          <w:bCs/>
          <w:color w:val="2E74B5"/>
          <w:sz w:val="24"/>
          <w:szCs w:val="24"/>
        </w:rPr>
        <w:t xml:space="preserve">4.4 Safety and Workforce KPIs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700"/>
      </w:tblGrid>
      <w:tr>
        <w:tc>
          <w:tcPr>
            <w:tcW w:type="dxa" w:w="3200"/>
            <w:shd w:fill="1F3864" w:val="clear"/>
            <w:tcMar>
              <w:top w:type="dxa" w:w="80"/>
              <w:left w:type="dxa" w:w="100"/>
              <w:bottom w:type="dxa" w:w="80"/>
              <w:right w:type="dxa" w:w="100"/>
            </w:tcMar>
          </w:tcPr>
          <w:p>
            <w:r>
              <w:rPr>
                <w:b/>
                <w:bCs/>
                <w:color w:val="FFFFFF"/>
                <w:sz w:val="20"/>
                <w:szCs w:val="20"/>
              </w:rPr>
              <w:t xml:space="preserve">KPI</w:t>
            </w:r>
          </w:p>
        </w:tc>
        <w:tc>
          <w:tcPr>
            <w:tcW w:type="dxa" w:w="4200"/>
            <w:shd w:fill="1F3864" w:val="clear"/>
            <w:tcMar>
              <w:top w:type="dxa" w:w="80"/>
              <w:left w:type="dxa" w:w="100"/>
              <w:bottom w:type="dxa" w:w="80"/>
              <w:right w:type="dxa" w:w="100"/>
            </w:tcMar>
          </w:tcPr>
          <w:p>
            <w:r>
              <w:rPr>
                <w:b/>
                <w:bCs/>
                <w:color w:val="FFFFFF"/>
                <w:sz w:val="20"/>
                <w:szCs w:val="20"/>
              </w:rPr>
              <w:t xml:space="preserve">Definition</w:t>
            </w:r>
          </w:p>
        </w:tc>
        <w:tc>
          <w:tcPr>
            <w:tcW w:type="dxa" w:w="2700"/>
            <w:shd w:fill="1F3864" w:val="clear"/>
            <w:tcMar>
              <w:top w:type="dxa" w:w="80"/>
              <w:left w:type="dxa" w:w="100"/>
              <w:bottom w:type="dxa" w:w="80"/>
              <w:right w:type="dxa" w:w="100"/>
            </w:tcMar>
          </w:tcPr>
          <w:p>
            <w:r>
              <w:rPr>
                <w:b/>
                <w:bCs/>
                <w:color w:val="FFFFFF"/>
                <w:sz w:val="20"/>
                <w:szCs w:val="20"/>
              </w:rPr>
              <w:t xml:space="preserve">Business Objective Supported</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Safety Incident Rate</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Incidents per site per period, by location/crew</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Identify high-risk locations and crews proactively</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Attendance &amp; Workforce Hours</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Site attendance and hours logged vs. plan</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Support workforce planning and payroll accuracy</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Subcontractor Performance Score</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On-time completion and quality score by subcontractor</w:t>
            </w:r>
          </w:p>
        </w:tc>
        <w:tc>
          <w:tcPr>
            <w:tcW w:type="dxa" w:w="2700"/>
            <w:shd w:fill="F2F6FA" w:val="clear"/>
            <w:tcMar>
              <w:top w:type="dxa" w:w="80"/>
              <w:left w:type="dxa" w:w="100"/>
              <w:bottom w:type="dxa" w:w="80"/>
              <w:right w:type="dxa" w:w="100"/>
            </w:tcMar>
          </w:tcPr>
          <w:p>
            <w:r>
              <w:rPr>
                <w:b w:val="false"/>
                <w:bCs w:val="false"/>
                <w:color w:val="000000"/>
                <w:sz w:val="20"/>
                <w:szCs w:val="20"/>
              </w:rPr>
              <w:t xml:space="preserve">Improve accountability across the supply chain</w:t>
            </w:r>
          </w:p>
        </w:tc>
      </w:tr>
    </w:tbl>
    <w:p>
      <w:pPr>
        <w:pStyle w:val="Heading1"/>
        <w:pBdr>
          <w:bottom w:val="single" w:color="2E74B5" w:sz="6" w:space="4"/>
        </w:pBdr>
        <w:spacing w:after="160" w:before="360"/>
      </w:pPr>
      <w:r>
        <w:rPr>
          <w:b/>
          <w:bCs/>
          <w:color w:val="1F3864"/>
          <w:sz w:val="30"/>
          <w:szCs w:val="30"/>
        </w:rPr>
        <w:t xml:space="preserve">5. Roadmap: Proposal Strategy for Power BI Integration</w:t>
      </w:r>
    </w:p>
    <w:p>
      <w:pPr>
        <w:spacing w:after="160" w:line="300"/>
        <w:jc w:val="both"/>
      </w:pPr>
      <w:r>
        <w:rPr>
          <w:sz w:val="21"/>
          <w:szCs w:val="21"/>
        </w:rPr>
        <w:t xml:space="preserve">The rollout is planned in four phases so that a client or internal stakeholder sees value quickly, rather than waiting for a complete data platform before any dashboard is usable.</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700"/>
        <w:gridCol w:w="2200"/>
      </w:tblGrid>
      <w:tr>
        <w:tc>
          <w:tcPr>
            <w:tcW w:type="dxa" w:w="1800"/>
            <w:shd w:fill="1F3864" w:val="clear"/>
            <w:tcMar>
              <w:top w:type="dxa" w:w="80"/>
              <w:left w:type="dxa" w:w="100"/>
              <w:bottom w:type="dxa" w:w="80"/>
              <w:right w:type="dxa" w:w="100"/>
            </w:tcMar>
          </w:tcPr>
          <w:p>
            <w:r>
              <w:rPr>
                <w:b/>
                <w:bCs/>
                <w:color w:val="FFFFFF"/>
                <w:sz w:val="20"/>
                <w:szCs w:val="20"/>
              </w:rPr>
              <w:t xml:space="preserve">Phase</w:t>
            </w:r>
          </w:p>
        </w:tc>
        <w:tc>
          <w:tcPr>
            <w:tcW w:type="dxa" w:w="2400"/>
            <w:shd w:fill="1F3864" w:val="clear"/>
            <w:tcMar>
              <w:top w:type="dxa" w:w="80"/>
              <w:left w:type="dxa" w:w="100"/>
              <w:bottom w:type="dxa" w:w="80"/>
              <w:right w:type="dxa" w:w="100"/>
            </w:tcMar>
          </w:tcPr>
          <w:p>
            <w:r>
              <w:rPr>
                <w:b/>
                <w:bCs/>
                <w:color w:val="FFFFFF"/>
                <w:sz w:val="20"/>
                <w:szCs w:val="20"/>
              </w:rPr>
              <w:t xml:space="preserve">Focus</w:t>
            </w:r>
          </w:p>
        </w:tc>
        <w:tc>
          <w:tcPr>
            <w:tcW w:type="dxa" w:w="4700"/>
            <w:shd w:fill="1F3864" w:val="clear"/>
            <w:tcMar>
              <w:top w:type="dxa" w:w="80"/>
              <w:left w:type="dxa" w:w="100"/>
              <w:bottom w:type="dxa" w:w="80"/>
              <w:right w:type="dxa" w:w="100"/>
            </w:tcMar>
          </w:tcPr>
          <w:p>
            <w:r>
              <w:rPr>
                <w:b/>
                <w:bCs/>
                <w:color w:val="FFFFFF"/>
                <w:sz w:val="20"/>
                <w:szCs w:val="20"/>
              </w:rPr>
              <w:t xml:space="preserve">Key Activities</w:t>
            </w:r>
          </w:p>
        </w:tc>
        <w:tc>
          <w:tcPr>
            <w:tcW w:type="dxa" w:w="2200"/>
            <w:shd w:fill="1F3864" w:val="clear"/>
            <w:tcMar>
              <w:top w:type="dxa" w:w="80"/>
              <w:left w:type="dxa" w:w="100"/>
              <w:bottom w:type="dxa" w:w="80"/>
              <w:right w:type="dxa" w:w="100"/>
            </w:tcMar>
          </w:tcPr>
          <w:p>
            <w:r>
              <w:rPr>
                <w:b/>
                <w:bCs/>
                <w:color w:val="FFFFFF"/>
                <w:sz w:val="20"/>
                <w:szCs w:val="20"/>
              </w:rPr>
              <w:t xml:space="preserve">Indicative Duration</w:t>
            </w:r>
          </w:p>
        </w:tc>
      </w:tr>
      <w:tr>
        <w:tc>
          <w:tcPr>
            <w:tcW w:type="dxa" w:w="1800"/>
            <w:shd w:fill="F2F6FA" w:val="clear"/>
            <w:tcMar>
              <w:top w:type="dxa" w:w="80"/>
              <w:left w:type="dxa" w:w="100"/>
              <w:bottom w:type="dxa" w:w="80"/>
              <w:right w:type="dxa" w:w="100"/>
            </w:tcMar>
          </w:tcPr>
          <w:p>
            <w:r>
              <w:rPr>
                <w:b w:val="false"/>
                <w:bCs w:val="false"/>
                <w:color w:val="000000"/>
                <w:sz w:val="20"/>
                <w:szCs w:val="20"/>
              </w:rPr>
              <w:t xml:space="preserve">Phase 1 — Discovery</w:t>
            </w:r>
          </w:p>
        </w:tc>
        <w:tc>
          <w:tcPr>
            <w:tcW w:type="dxa" w:w="2400"/>
            <w:shd w:fill="F2F6FA" w:val="clear"/>
            <w:tcMar>
              <w:top w:type="dxa" w:w="80"/>
              <w:left w:type="dxa" w:w="100"/>
              <w:bottom w:type="dxa" w:w="80"/>
              <w:right w:type="dxa" w:w="100"/>
            </w:tcMar>
          </w:tcPr>
          <w:p>
            <w:r>
              <w:rPr>
                <w:b w:val="false"/>
                <w:bCs w:val="false"/>
                <w:color w:val="000000"/>
                <w:sz w:val="20"/>
                <w:szCs w:val="20"/>
              </w:rPr>
              <w:t xml:space="preserve">Data audit and objective alignment</w:t>
            </w:r>
          </w:p>
        </w:tc>
        <w:tc>
          <w:tcPr>
            <w:tcW w:type="dxa" w:w="4700"/>
            <w:shd w:fill="F2F6FA" w:val="clear"/>
            <w:tcMar>
              <w:top w:type="dxa" w:w="80"/>
              <w:left w:type="dxa" w:w="100"/>
              <w:bottom w:type="dxa" w:w="80"/>
              <w:right w:type="dxa" w:w="100"/>
            </w:tcMar>
          </w:tcPr>
          <w:p>
            <w:r>
              <w:rPr>
                <w:b w:val="false"/>
                <w:bCs w:val="false"/>
                <w:color w:val="000000"/>
                <w:sz w:val="20"/>
                <w:szCs w:val="20"/>
              </w:rPr>
              <w:t xml:space="preserve">Inventory data sources (ERP, BIM, timesheets, field logs); confirm KPI priorities with stakeholders</w:t>
            </w:r>
          </w:p>
        </w:tc>
        <w:tc>
          <w:tcPr>
            <w:tcW w:type="dxa" w:w="2200"/>
            <w:shd w:fill="F2F6FA" w:val="clear"/>
            <w:tcMar>
              <w:top w:type="dxa" w:w="80"/>
              <w:left w:type="dxa" w:w="100"/>
              <w:bottom w:type="dxa" w:w="80"/>
              <w:right w:type="dxa" w:w="100"/>
            </w:tcMar>
          </w:tcPr>
          <w:p>
            <w:r>
              <w:rPr>
                <w:b w:val="false"/>
                <w:bCs w:val="false"/>
                <w:color w:val="000000"/>
                <w:sz w:val="20"/>
                <w:szCs w:val="20"/>
              </w:rPr>
              <w:t xml:space="preserve">1–2 weeks</w:t>
            </w:r>
          </w:p>
        </w:tc>
      </w:tr>
      <w:tr>
        <w:tc>
          <w:tcPr>
            <w:tcW w:type="dxa" w:w="1800"/>
            <w:shd w:fill="F2F6FA" w:val="clear"/>
            <w:tcMar>
              <w:top w:type="dxa" w:w="80"/>
              <w:left w:type="dxa" w:w="100"/>
              <w:bottom w:type="dxa" w:w="80"/>
              <w:right w:type="dxa" w:w="100"/>
            </w:tcMar>
          </w:tcPr>
          <w:p>
            <w:r>
              <w:rPr>
                <w:b w:val="false"/>
                <w:bCs w:val="false"/>
                <w:color w:val="000000"/>
                <w:sz w:val="20"/>
                <w:szCs w:val="20"/>
              </w:rPr>
              <w:t xml:space="preserve">Phase 2 — Foundation</w:t>
            </w:r>
          </w:p>
        </w:tc>
        <w:tc>
          <w:tcPr>
            <w:tcW w:type="dxa" w:w="2400"/>
            <w:shd w:fill="F2F6FA" w:val="clear"/>
            <w:tcMar>
              <w:top w:type="dxa" w:w="80"/>
              <w:left w:type="dxa" w:w="100"/>
              <w:bottom w:type="dxa" w:w="80"/>
              <w:right w:type="dxa" w:w="100"/>
            </w:tcMar>
          </w:tcPr>
          <w:p>
            <w:r>
              <w:rPr>
                <w:b w:val="false"/>
                <w:bCs w:val="false"/>
                <w:color w:val="000000"/>
                <w:sz w:val="20"/>
                <w:szCs w:val="20"/>
              </w:rPr>
              <w:t xml:space="preserve">Data pipeline and model</w:t>
            </w:r>
          </w:p>
        </w:tc>
        <w:tc>
          <w:tcPr>
            <w:tcW w:type="dxa" w:w="4700"/>
            <w:shd w:fill="F2F6FA" w:val="clear"/>
            <w:tcMar>
              <w:top w:type="dxa" w:w="80"/>
              <w:left w:type="dxa" w:w="100"/>
              <w:bottom w:type="dxa" w:w="80"/>
              <w:right w:type="dxa" w:w="100"/>
            </w:tcMar>
          </w:tcPr>
          <w:p>
            <w:r>
              <w:rPr>
                <w:b w:val="false"/>
                <w:bCs w:val="false"/>
                <w:color w:val="000000"/>
                <w:sz w:val="20"/>
                <w:szCs w:val="20"/>
              </w:rPr>
              <w:t xml:space="preserve">Build Power Query pipelines; design the project-centric data model; define the DAX measure library</w:t>
            </w:r>
          </w:p>
        </w:tc>
        <w:tc>
          <w:tcPr>
            <w:tcW w:type="dxa" w:w="2200"/>
            <w:shd w:fill="F2F6FA" w:val="clear"/>
            <w:tcMar>
              <w:top w:type="dxa" w:w="80"/>
              <w:left w:type="dxa" w:w="100"/>
              <w:bottom w:type="dxa" w:w="80"/>
              <w:right w:type="dxa" w:w="100"/>
            </w:tcMar>
          </w:tcPr>
          <w:p>
            <w:r>
              <w:rPr>
                <w:b w:val="false"/>
                <w:bCs w:val="false"/>
                <w:color w:val="000000"/>
                <w:sz w:val="20"/>
                <w:szCs w:val="20"/>
              </w:rPr>
              <w:t xml:space="preserve">2–4 weeks</w:t>
            </w:r>
          </w:p>
        </w:tc>
      </w:tr>
      <w:tr>
        <w:tc>
          <w:tcPr>
            <w:tcW w:type="dxa" w:w="1800"/>
            <w:shd w:fill="F2F6FA" w:val="clear"/>
            <w:tcMar>
              <w:top w:type="dxa" w:w="80"/>
              <w:left w:type="dxa" w:w="100"/>
              <w:bottom w:type="dxa" w:w="80"/>
              <w:right w:type="dxa" w:w="100"/>
            </w:tcMar>
          </w:tcPr>
          <w:p>
            <w:r>
              <w:rPr>
                <w:b w:val="false"/>
                <w:bCs w:val="false"/>
                <w:color w:val="000000"/>
                <w:sz w:val="20"/>
                <w:szCs w:val="20"/>
              </w:rPr>
              <w:t xml:space="preserve">Phase 3 — Dashboard Build</w:t>
            </w:r>
          </w:p>
        </w:tc>
        <w:tc>
          <w:tcPr>
            <w:tcW w:type="dxa" w:w="2400"/>
            <w:shd w:fill="F2F6FA" w:val="clear"/>
            <w:tcMar>
              <w:top w:type="dxa" w:w="80"/>
              <w:left w:type="dxa" w:w="100"/>
              <w:bottom w:type="dxa" w:w="80"/>
              <w:right w:type="dxa" w:w="100"/>
            </w:tcMar>
          </w:tcPr>
          <w:p>
            <w:r>
              <w:rPr>
                <w:b w:val="false"/>
                <w:bCs w:val="false"/>
                <w:color w:val="000000"/>
                <w:sz w:val="20"/>
                <w:szCs w:val="20"/>
              </w:rPr>
              <w:t xml:space="preserve">Role-based dashboards</w:t>
            </w:r>
          </w:p>
        </w:tc>
        <w:tc>
          <w:tcPr>
            <w:tcW w:type="dxa" w:w="4700"/>
            <w:shd w:fill="F2F6FA" w:val="clear"/>
            <w:tcMar>
              <w:top w:type="dxa" w:w="80"/>
              <w:left w:type="dxa" w:w="100"/>
              <w:bottom w:type="dxa" w:w="80"/>
              <w:right w:type="dxa" w:w="100"/>
            </w:tcMar>
          </w:tcPr>
          <w:p>
            <w:r>
              <w:rPr>
                <w:b w:val="false"/>
                <w:bCs w:val="false"/>
                <w:color w:val="000000"/>
                <w:sz w:val="20"/>
                <w:szCs w:val="20"/>
              </w:rPr>
              <w:t xml:space="preserve">Build Executive, Financial, Project/Site, and HR dashboards; configure row-level security</w:t>
            </w:r>
          </w:p>
        </w:tc>
        <w:tc>
          <w:tcPr>
            <w:tcW w:type="dxa" w:w="2200"/>
            <w:shd w:fill="F2F6FA" w:val="clear"/>
            <w:tcMar>
              <w:top w:type="dxa" w:w="80"/>
              <w:left w:type="dxa" w:w="100"/>
              <w:bottom w:type="dxa" w:w="80"/>
              <w:right w:type="dxa" w:w="100"/>
            </w:tcMar>
          </w:tcPr>
          <w:p>
            <w:r>
              <w:rPr>
                <w:b w:val="false"/>
                <w:bCs w:val="false"/>
                <w:color w:val="000000"/>
                <w:sz w:val="20"/>
                <w:szCs w:val="20"/>
              </w:rPr>
              <w:t xml:space="preserve">3–5 weeks</w:t>
            </w:r>
          </w:p>
        </w:tc>
      </w:tr>
      <w:tr>
        <w:tc>
          <w:tcPr>
            <w:tcW w:type="dxa" w:w="1800"/>
            <w:shd w:fill="F2F6FA" w:val="clear"/>
            <w:tcMar>
              <w:top w:type="dxa" w:w="80"/>
              <w:left w:type="dxa" w:w="100"/>
              <w:bottom w:type="dxa" w:w="80"/>
              <w:right w:type="dxa" w:w="100"/>
            </w:tcMar>
          </w:tcPr>
          <w:p>
            <w:r>
              <w:rPr>
                <w:b w:val="false"/>
                <w:bCs w:val="false"/>
                <w:color w:val="000000"/>
                <w:sz w:val="20"/>
                <w:szCs w:val="20"/>
              </w:rPr>
              <w:t xml:space="preserve">Phase 4 — Adoption &amp; Scale</w:t>
            </w:r>
          </w:p>
        </w:tc>
        <w:tc>
          <w:tcPr>
            <w:tcW w:type="dxa" w:w="2400"/>
            <w:shd w:fill="F2F6FA" w:val="clear"/>
            <w:tcMar>
              <w:top w:type="dxa" w:w="80"/>
              <w:left w:type="dxa" w:w="100"/>
              <w:bottom w:type="dxa" w:w="80"/>
              <w:right w:type="dxa" w:w="100"/>
            </w:tcMar>
          </w:tcPr>
          <w:p>
            <w:r>
              <w:rPr>
                <w:b w:val="false"/>
                <w:bCs w:val="false"/>
                <w:color w:val="000000"/>
                <w:sz w:val="20"/>
                <w:szCs w:val="20"/>
              </w:rPr>
              <w:t xml:space="preserve">Rollout and continuous improvement</w:t>
            </w:r>
          </w:p>
        </w:tc>
        <w:tc>
          <w:tcPr>
            <w:tcW w:type="dxa" w:w="4700"/>
            <w:shd w:fill="F2F6FA" w:val="clear"/>
            <w:tcMar>
              <w:top w:type="dxa" w:w="80"/>
              <w:left w:type="dxa" w:w="100"/>
              <w:bottom w:type="dxa" w:w="80"/>
              <w:right w:type="dxa" w:w="100"/>
            </w:tcMar>
          </w:tcPr>
          <w:p>
            <w:r>
              <w:rPr>
                <w:b w:val="false"/>
                <w:bCs w:val="false"/>
                <w:color w:val="000000"/>
                <w:sz w:val="20"/>
                <w:szCs w:val="20"/>
              </w:rPr>
              <w:t xml:space="preserve">Train project teams; publish via Power BI Service; add new projects/sites to the model; review KPI accuracy quarterly</w:t>
            </w:r>
          </w:p>
        </w:tc>
        <w:tc>
          <w:tcPr>
            <w:tcW w:type="dxa" w:w="2200"/>
            <w:shd w:fill="F2F6FA" w:val="clear"/>
            <w:tcMar>
              <w:top w:type="dxa" w:w="80"/>
              <w:left w:type="dxa" w:w="100"/>
              <w:bottom w:type="dxa" w:w="80"/>
              <w:right w:type="dxa" w:w="100"/>
            </w:tcMar>
          </w:tcPr>
          <w:p>
            <w:r>
              <w:rPr>
                <w:b w:val="false"/>
                <w:bCs w:val="false"/>
                <w:color w:val="000000"/>
                <w:sz w:val="20"/>
                <w:szCs w:val="20"/>
              </w:rPr>
              <w:t xml:space="preserve">Ongoing</w:t>
            </w:r>
          </w:p>
        </w:tc>
      </w:tr>
    </w:tbl>
    <w:p>
      <w:pPr>
        <w:spacing w:after="160" w:line="300"/>
        <w:jc w:val="both"/>
      </w:pPr>
      <w:r>
        <w:rPr>
          <w:sz w:val="21"/>
          <w:szCs w:val="21"/>
        </w:rPr>
        <w:t xml:space="preserve">This phased approach also gives the business a natural set of proposal tiers when pitching the offering externally: a discovery/audit engagement, a foundation build, a full dashboard suite, and an ongoing managed-analytics retainer.</w:t>
      </w:r>
    </w:p>
    <w:p>
      <w:pPr>
        <w:pStyle w:val="Heading1"/>
        <w:pBdr>
          <w:bottom w:val="single" w:color="2E74B5" w:sz="6" w:space="4"/>
        </w:pBdr>
        <w:spacing w:after="160" w:before="360"/>
      </w:pPr>
      <w:r>
        <w:rPr>
          <w:b/>
          <w:bCs/>
          <w:color w:val="1F3864"/>
          <w:sz w:val="30"/>
          <w:szCs w:val="30"/>
        </w:rPr>
        <w:t xml:space="preserve">6. Use-Case Scenarios</w:t>
      </w:r>
    </w:p>
    <w:p>
      <w:pPr>
        <w:pStyle w:val="Heading2"/>
        <w:spacing w:after="120" w:before="260"/>
      </w:pPr>
      <w:r>
        <w:rPr>
          <w:b/>
          <w:bCs/>
          <w:color w:val="2E74B5"/>
          <w:sz w:val="24"/>
          <w:szCs w:val="24"/>
        </w:rPr>
        <w:t xml:space="preserve">Use Case 1 — Executive Portfolio Dashboard for a Multi-Project General Contractor</w:t>
      </w:r>
    </w:p>
    <w:p>
      <w:pPr>
        <w:spacing w:after="160" w:line="300"/>
        <w:jc w:val="both"/>
      </w:pPr>
      <w:r>
        <w:rPr>
          <w:sz w:val="21"/>
          <w:szCs w:val="21"/>
        </w:rPr>
        <w:t xml:space="preserve">A general contractor running 15–20 concurrent projects needs a single view of overall performance without opening each project's individual spreadsheet. Power BI consolidates cost, schedule, and margin data from every active project into one executive dashboard showing overall project margin, budget-vs-actual variance, and forecast-vs-actual revenue. Leadership can drill from the portfolio view into any single project that is trending off-plan, cutting the time to identify an at-risk project from weeks (manual report cycles) to near real time.</w:t>
      </w:r>
    </w:p>
    <w:p>
      <w:pPr>
        <w:pStyle w:val="Heading2"/>
        <w:spacing w:after="120" w:before="260"/>
      </w:pPr>
      <w:r>
        <w:rPr>
          <w:b/>
          <w:bCs/>
          <w:color w:val="2E74B5"/>
          <w:sz w:val="24"/>
          <w:szCs w:val="24"/>
        </w:rPr>
        <w:t xml:space="preserve">Use Case 2 — Earned Value and Cost Control for an EPC / Infrastructure Project</w:t>
      </w:r>
    </w:p>
    <w:p>
      <w:pPr>
        <w:spacing w:after="160" w:line="300"/>
        <w:jc w:val="both"/>
      </w:pPr>
      <w:r>
        <w:rPr>
          <w:sz w:val="21"/>
          <w:szCs w:val="21"/>
        </w:rPr>
        <w:t xml:space="preserve">A large infrastructure or EPC project with a fixed-price contract is exposed to cost overrun risk if variance is caught late. A Power BI dashboard built around Earned Value Management (CPI and SPI), change-order analytics, and cost-to-complete gives the project controls team an early-warning system: cost or schedule performance indices dropping below 1.0 trigger a review before the variance becomes unrecoverable. Change-order analytics track cumulative risk and approval status across the project, giving the client a defensible audit trail for cost claims.</w:t>
      </w:r>
    </w:p>
    <w:p>
      <w:pPr>
        <w:pStyle w:val="Heading2"/>
        <w:spacing w:after="120" w:before="260"/>
      </w:pPr>
      <w:r>
        <w:rPr>
          <w:b/>
          <w:bCs/>
          <w:color w:val="2E74B5"/>
          <w:sz w:val="24"/>
          <w:szCs w:val="24"/>
        </w:rPr>
        <w:t xml:space="preserve">Use Case 3 — Safety, Workforce, and Subcontractor Performance Analytics</w:t>
      </w:r>
    </w:p>
    <w:p>
      <w:pPr>
        <w:spacing w:after="160" w:line="300"/>
        <w:jc w:val="both"/>
      </w:pPr>
      <w:r>
        <w:rPr>
          <w:sz w:val="21"/>
          <w:szCs w:val="21"/>
        </w:rPr>
        <w:t xml:space="preserve">A construction firm managing multiple subcontractors across several sites needs to identify safety risk and underperformance before it results in an incident or a missed milestone. A workforce/safety dashboard combines site attendance, hours worked, incident reports, and subcontractor scorecards to surface high-risk crews or locations and to rank subcontractors on on-time completion and quality. This supports both proactive safety intervention and data-backed conversations with underperforming subcontractors at contract renewal.</w:t>
      </w:r>
    </w:p>
    <w:p>
      <w:pPr>
        <w:pStyle w:val="Heading2"/>
        <w:spacing w:after="120" w:before="260"/>
      </w:pPr>
      <w:r>
        <w:rPr>
          <w:b/>
          <w:bCs/>
          <w:color w:val="2E74B5"/>
          <w:sz w:val="24"/>
          <w:szCs w:val="24"/>
        </w:rPr>
        <w:t xml:space="preserve">Use Case 4 (Extension) — Cash Flow and Billing Consolidation Across Subsidiaries</w:t>
      </w:r>
    </w:p>
    <w:p>
      <w:pPr>
        <w:spacing w:after="160" w:line="300"/>
        <w:jc w:val="both"/>
      </w:pPr>
      <w:r>
        <w:rPr>
          <w:sz w:val="21"/>
          <w:szCs w:val="21"/>
        </w:rPr>
        <w:t xml:space="preserve">For a developer with multiple subsidiaries or joint-venture entities, Power BI's data-consolidation capability merges billing, payables, and receivables from disparate accounting systems into a single cash-flow forecast, connecting project progress to invoicing so that finance can anticipate funding gaps before they affect site activity.</w:t>
      </w:r>
    </w:p>
    <w:p>
      <w:pPr>
        <w:pStyle w:val="Heading1"/>
        <w:pBdr>
          <w:bottom w:val="single" w:color="2E74B5" w:sz="6" w:space="4"/>
        </w:pBdr>
        <w:spacing w:after="160" w:before="360"/>
      </w:pPr>
      <w:r>
        <w:rPr>
          <w:b/>
          <w:bCs/>
          <w:color w:val="1F3864"/>
          <w:sz w:val="30"/>
          <w:szCs w:val="30"/>
        </w:rPr>
        <w:t xml:space="preserve">7. Success Metrics and Evaluation Criteria</w:t>
      </w:r>
    </w:p>
    <w:p>
      <w:pPr>
        <w:spacing w:after="160" w:line="300"/>
        <w:jc w:val="both"/>
      </w:pPr>
      <w:r>
        <w:rPr>
          <w:sz w:val="21"/>
          <w:szCs w:val="21"/>
        </w:rPr>
        <w:t xml:space="preserve">The success of the BI operation itself — separate from the KPIs it reports on for clients — will be evaluated against:</w:t>
      </w:r>
    </w:p>
    <w:p>
      <w:pPr>
        <w:pStyle w:val="ListParagraph"/>
        <w:numPr>
          <w:ilvl w:val="0"/>
          <w:numId w:val="2"/>
        </w:numPr>
        <w:spacing w:after="80"/>
      </w:pPr>
      <w:r>
        <w:rPr>
          <w:sz w:val="21"/>
          <w:szCs w:val="21"/>
        </w:rPr>
        <w:t xml:space="preserve">Time-to-first-dashboard for a new project or client (target: under 2 weeks after data access is granted).</w:t>
      </w:r>
    </w:p>
    <w:p>
      <w:pPr>
        <w:pStyle w:val="ListParagraph"/>
        <w:numPr>
          <w:ilvl w:val="0"/>
          <w:numId w:val="2"/>
        </w:numPr>
        <w:spacing w:after="80"/>
      </w:pPr>
      <w:r>
        <w:rPr>
          <w:sz w:val="21"/>
          <w:szCs w:val="21"/>
        </w:rPr>
        <w:t xml:space="preserve">Data refresh reliability and latency (target: daily automated refresh with under 1% failed-refresh rate).</w:t>
      </w:r>
    </w:p>
    <w:p>
      <w:pPr>
        <w:pStyle w:val="ListParagraph"/>
        <w:numPr>
          <w:ilvl w:val="0"/>
          <w:numId w:val="2"/>
        </w:numPr>
        <w:spacing w:after="80"/>
      </w:pPr>
      <w:r>
        <w:rPr>
          <w:sz w:val="21"/>
          <w:szCs w:val="21"/>
        </w:rPr>
        <w:t xml:space="preserve">Adoption rate — proportion of invited stakeholders actively viewing dashboards weekly.</w:t>
      </w:r>
    </w:p>
    <w:p>
      <w:pPr>
        <w:pStyle w:val="ListParagraph"/>
        <w:numPr>
          <w:ilvl w:val="0"/>
          <w:numId w:val="2"/>
        </w:numPr>
        <w:spacing w:after="80"/>
      </w:pPr>
      <w:r>
        <w:rPr>
          <w:sz w:val="21"/>
          <w:szCs w:val="21"/>
        </w:rPr>
        <w:t xml:space="preserve">Accuracy of KPI definitions against source systems, validated during quarterly review cycles.</w:t>
      </w:r>
    </w:p>
    <w:p>
      <w:pPr>
        <w:pStyle w:val="ListParagraph"/>
        <w:numPr>
          <w:ilvl w:val="0"/>
          <w:numId w:val="2"/>
        </w:numPr>
        <w:spacing w:after="80"/>
      </w:pPr>
      <w:r>
        <w:rPr>
          <w:sz w:val="21"/>
          <w:szCs w:val="21"/>
        </w:rPr>
        <w:t xml:space="preserve">Client-reported reduction in time spent on manual reporting and reconciliation.</w:t>
      </w:r>
    </w:p>
    <w:p>
      <w:pPr>
        <w:pStyle w:val="Heading1"/>
        <w:pBdr>
          <w:bottom w:val="single" w:color="2E74B5" w:sz="6" w:space="4"/>
        </w:pBdr>
        <w:spacing w:after="160" w:before="360"/>
      </w:pPr>
      <w:r>
        <w:rPr>
          <w:b/>
          <w:bCs/>
          <w:color w:val="1F3864"/>
          <w:sz w:val="30"/>
          <w:szCs w:val="30"/>
        </w:rPr>
        <w:t xml:space="preserve">8. Conclusion</w:t>
      </w:r>
    </w:p>
    <w:p>
      <w:pPr>
        <w:spacing w:after="160" w:line="300"/>
        <w:jc w:val="both"/>
      </w:pPr>
      <w:r>
        <w:rPr>
          <w:sz w:val="21"/>
          <w:szCs w:val="21"/>
        </w:rPr>
        <w:t xml:space="preserve">Construction generates more data than almost any other major industry, yet remains one of the least digitised in how that data is used for decision-making. Power BI's connector ecosystem, data-modelling capability, and role-based dashboarding make it a strong foundation for a virtual construction BI operation that can be sold in discrete phases — discovery, foundation, dashboard build, and ongoing adoption — rather than as a single large, high-risk implementation. The market backdrop, with construction technology and AI-in-construction spending growing far faster than the base construction market, supports a strategy that leads with fast, visible wins (executive and cost-control dashboards) before expanding into safety, workforce, and cross-entity financial consolidation.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Virtual Construction BI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2026-09-25T04:38:55.352Z</dcterms:created>
  <dcterms:modified xsi:type="dcterms:W3CDTF">2026-09-25T04:38:55.358Z</dcterms:modified>
</cp:coreProperties>
</file>

<file path=docProps/custom.xml><?xml version="1.0" encoding="utf-8"?>
<Properties xmlns="http://schemas.openxmlformats.org/officeDocument/2006/custom-properties" xmlns:vt="http://schemas.openxmlformats.org/officeDocument/2006/docPropsVTypes"/>
</file>