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4"/>
          <w:szCs w:val="44"/>
        </w:rPr>
        <w:t xml:space="preserve">COMPREHENSIVE EVALUATION AND</w:t>
      </w:r>
    </w:p>
    <w:p>
      <w:pPr>
        <w:spacing w:after="200"/>
        <w:jc w:val="center"/>
      </w:pPr>
      <w:r>
        <w:rPr>
          <w:b/>
          <w:bCs/>
          <w:color w:val="1F3864"/>
          <w:sz w:val="44"/>
          <w:szCs w:val="44"/>
        </w:rPr>
        <w:t xml:space="preserve">PERFORMANCE METRICS REPORTING</w:t>
      </w:r>
    </w:p>
    <w:p>
      <w:pPr>
        <w:spacing w:after="600"/>
        <w:jc w:val="center"/>
      </w:pPr>
      <w:r>
        <w:rPr>
          <w:i/>
          <w:iCs/>
          <w:color w:val="2E5395"/>
          <w:sz w:val="26"/>
          <w:szCs w:val="26"/>
        </w:rPr>
        <w:t xml:space="preserve">A Final BI Performance Review of the Virtual Construction Analytics Program</w:t>
      </w:r>
    </w:p>
    <w:p>
      <w:pPr>
        <w:pBdr>
          <w:bottom w:val="single" w:color="AAAAAA" w:sz="6" w:space="1"/>
        </w:pBdr>
        <w:spacing w:after="200"/>
      </w:pPr>
    </w:p>
    <w:p>
      <w:pPr>
        <w:spacing w:after="80" w:before="400"/>
        <w:jc w:val="center"/>
      </w:pPr>
      <w:r>
        <w:rPr>
          <w:b/>
          <w:bCs/>
          <w:sz w:val="24"/>
          <w:szCs w:val="24"/>
        </w:rPr>
        <w:t xml:space="preserve">Week 6 Task Submission (Capstone / Final Evaluation)</w:t>
      </w:r>
    </w:p>
    <w:p>
      <w:pPr>
        <w:spacing w:after="80"/>
        <w:jc w:val="center"/>
      </w:pPr>
      <w:r>
        <w:rPr>
          <w:sz w:val="22"/>
          <w:szCs w:val="22"/>
        </w:rPr>
        <w:t xml:space="preserve">Role: Virtual Construction Business Intelligence Intern</w:t>
      </w:r>
    </w:p>
    <w:p>
      <w:pPr>
        <w:spacing w:after="80"/>
        <w:jc w:val="center"/>
      </w:pPr>
      <w:r>
        <w:rPr>
          <w:sz w:val="22"/>
          <w:szCs w:val="22"/>
        </w:rPr>
        <w:t xml:space="preserve">Tool Used: Microsoft Power BI Desktop &amp; Power BI Service</w:t>
      </w:r>
    </w:p>
    <w:p>
      <w:pPr>
        <w:spacing w:after="80"/>
        <w:jc w:val="center"/>
      </w:pPr>
      <w:r>
        <w:rPr>
          <w:sz w:val="22"/>
          <w:szCs w:val="22"/>
        </w:rPr>
        <w:t xml:space="preserve">Estimated Effort: 30–35 hours</w:t>
      </w:r>
    </w:p>
    <w:p>
      <w:pPr>
        <w:spacing w:after="400"/>
        <w:jc w:val="center"/>
      </w:pPr>
      <w:r>
        <w:rPr>
          <w:sz w:val="22"/>
          <w:szCs w:val="22"/>
        </w:rPr>
        <w:t xml:space="preserve">Date: September 2026</w:t>
      </w:r>
    </w:p>
    <w:p>
      <w:r>
        <w:br w:type="page"/>
      </w:r>
    </w:p>
    <w:p>
      <w:pPr>
        <w:pStyle w:val="Heading1"/>
        <w:spacing w:after="200" w:before="400"/>
      </w:pPr>
      <w:r>
        <w:t xml:space="preserve">Table of Contents</w:t>
      </w:r>
    </w:p>
    <w:p>
      <w:pPr>
        <w:spacing w:after="160" w:line="276"/>
      </w:pPr>
      <w:r>
        <w:rPr>
          <w:sz w:val="22"/>
          <w:szCs w:val="22"/>
        </w:rPr>
        <w:t xml:space="preserve">1. Executive Summary</w:t>
      </w:r>
    </w:p>
    <w:p>
      <w:pPr>
        <w:spacing w:after="160" w:line="276"/>
      </w:pPr>
      <w:r>
        <w:rPr>
          <w:sz w:val="22"/>
          <w:szCs w:val="22"/>
        </w:rPr>
        <w:t xml:space="preserve">2. Program Synthesis: Recap of Weeks 1–5</w:t>
      </w:r>
    </w:p>
    <w:p>
      <w:pPr>
        <w:spacing w:after="160" w:line="276"/>
      </w:pPr>
      <w:r>
        <w:rPr>
          <w:sz w:val="22"/>
          <w:szCs w:val="22"/>
        </w:rPr>
        <w:t xml:space="preserve">3. Evaluation Methodology and Scoring Rubric</w:t>
      </w:r>
    </w:p>
    <w:p>
      <w:pPr>
        <w:spacing w:after="160" w:line="276"/>
      </w:pPr>
      <w:r>
        <w:rPr>
          <w:sz w:val="22"/>
          <w:szCs w:val="22"/>
        </w:rPr>
        <w:t xml:space="preserve">4. KPI and Evaluation Metrics Framework</w:t>
      </w:r>
    </w:p>
    <w:p>
      <w:pPr>
        <w:spacing w:after="160" w:line="276"/>
      </w:pPr>
      <w:r>
        <w:rPr>
          <w:sz w:val="22"/>
          <w:szCs w:val="22"/>
        </w:rPr>
        <w:t xml:space="preserve">5. Detailed Evaluation: Dashboard Effectiveness</w:t>
      </w:r>
    </w:p>
    <w:p>
      <w:pPr>
        <w:spacing w:after="160" w:line="276"/>
      </w:pPr>
      <w:r>
        <w:rPr>
          <w:sz w:val="22"/>
          <w:szCs w:val="22"/>
        </w:rPr>
        <w:t xml:space="preserve">6. Detailed Evaluation: Data Model Robustness</w:t>
      </w:r>
    </w:p>
    <w:p>
      <w:pPr>
        <w:spacing w:after="160" w:line="276"/>
      </w:pPr>
      <w:r>
        <w:rPr>
          <w:sz w:val="22"/>
          <w:szCs w:val="22"/>
        </w:rPr>
        <w:t xml:space="preserve">7. Detailed Evaluation: Predictive Analytics Impact</w:t>
      </w:r>
    </w:p>
    <w:p>
      <w:pPr>
        <w:spacing w:after="160" w:line="276"/>
      </w:pPr>
      <w:r>
        <w:rPr>
          <w:sz w:val="22"/>
          <w:szCs w:val="22"/>
        </w:rPr>
        <w:t xml:space="preserve">8. Simulated Performance Assessment — Results</w:t>
      </w:r>
    </w:p>
    <w:p>
      <w:pPr>
        <w:spacing w:after="160" w:line="276"/>
      </w:pPr>
      <w:r>
        <w:rPr>
          <w:sz w:val="22"/>
          <w:szCs w:val="22"/>
        </w:rPr>
        <w:t xml:space="preserve">9. Critical Insights: Strengths and Weaknesses</w:t>
      </w:r>
    </w:p>
    <w:p>
      <w:pPr>
        <w:spacing w:after="160" w:line="276"/>
      </w:pPr>
      <w:r>
        <w:rPr>
          <w:sz w:val="22"/>
          <w:szCs w:val="22"/>
        </w:rPr>
        <w:t xml:space="preserve">10. Recommendations for Improvement</w:t>
      </w:r>
    </w:p>
    <w:p>
      <w:pPr>
        <w:spacing w:after="160" w:line="276"/>
      </w:pPr>
      <w:r>
        <w:rPr>
          <w:sz w:val="22"/>
          <w:szCs w:val="22"/>
        </w:rPr>
        <w:t xml:space="preserve">11. Future Enhancements Roadmap</w:t>
      </w:r>
    </w:p>
    <w:p>
      <w:pPr>
        <w:spacing w:after="160" w:line="276"/>
      </w:pPr>
      <w:r>
        <w:rPr>
          <w:sz w:val="22"/>
          <w:szCs w:val="22"/>
        </w:rPr>
        <w:t xml:space="preserve">12. Conclusion</w:t>
      </w:r>
    </w:p>
    <w:p>
      <w:pPr>
        <w:spacing w:after="160" w:line="276"/>
      </w:pPr>
      <w:r>
        <w:rPr>
          <w:sz w:val="22"/>
          <w:szCs w:val="22"/>
        </w:rPr>
        <w:t xml:space="preserve">13. Appendix: Supporting Files and Metrics Reference</w:t>
      </w:r>
    </w:p>
    <w:p>
      <w:r>
        <w:br w:type="page"/>
      </w:r>
    </w:p>
    <w:p>
      <w:pPr>
        <w:pStyle w:val="Heading1"/>
        <w:spacing w:after="200" w:before="400"/>
      </w:pPr>
      <w:r>
        <w:t xml:space="preserve">1. Executive Summary</w:t>
      </w:r>
    </w:p>
    <w:p>
      <w:pPr>
        <w:spacing w:after="160" w:line="276"/>
      </w:pPr>
      <w:r>
        <w:rPr>
          <w:sz w:val="22"/>
          <w:szCs w:val="22"/>
        </w:rPr>
        <w:t xml:space="preserve">This report is the capstone evaluation of the Virtual Construction Business Intelligence internship program. It synthesizes the strategy, data modeling, dashboard design, and predictive analytics work completed across Weeks 1–5 into a single performance assessment of a simulated virtual construction project delivered through Microsoft Power BI.</w:t>
      </w:r>
    </w:p>
    <w:p>
      <w:pPr>
        <w:spacing w:after="160" w:line="276"/>
      </w:pPr>
      <w:r>
        <w:rPr>
          <w:sz w:val="22"/>
          <w:szCs w:val="22"/>
        </w:rPr>
        <w:t xml:space="preserve">The evaluation is structured around three pillars requested for this task — dashboard effectiveness, data model robustness, and predictive analytics impact — each assessed against a weighted KPI framework and scored using a simulated assessment exercise (documented in the companion workbook, Task6_Evaluation_Scorecard.xlsx). The overall composite performance score achieved in this simulation is 78.3 / 100, placing the solution in the "Strong — Production-Ready with Targeted Improvements" band.</w:t>
      </w:r>
    </w:p>
    <w:p>
      <w:pPr>
        <w:spacing w:after="160" w:line="276"/>
      </w:pPr>
      <w:r>
        <w:rPr>
          <w:sz w:val="22"/>
          <w:szCs w:val="22"/>
        </w:rPr>
        <w:t xml:space="preserve">Key findings: the data model and refresh reliability are the strongest areas of the solution; dashboard adoption/engagement and predictive model precision on the budget-overrun classifier are the areas most in need of improvement. Section 10 sets out prioritized, actionable recommendations, and Section 11 outlines a phased roadmap for the next iteration of the platform.</w:t>
      </w:r>
    </w:p>
    <w:p>
      <w:pPr>
        <w:pStyle w:val="Heading1"/>
        <w:spacing w:after="200" w:before="400"/>
      </w:pPr>
      <w:r>
        <w:t xml:space="preserve">2. Program Synthesis: Recap of Weeks 1–5</w:t>
      </w:r>
    </w:p>
    <w:p>
      <w:pPr>
        <w:spacing w:after="160" w:line="276"/>
      </w:pPr>
      <w:r>
        <w:rPr>
          <w:sz w:val="22"/>
          <w:szCs w:val="22"/>
        </w:rPr>
        <w:t xml:space="preserve">This capstone report treats the preceding internship weeks as the input pipeline being evaluated. Each phase contributed a distinct layer of the final solution: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20"/>
        <w:gridCol w:w="2660"/>
        <w:gridCol w:w="5320"/>
      </w:tblGrid>
      <w:tr>
        <w:trPr>
          <w:tblHeader/>
        </w:trPr>
        <w:tc>
          <w:tcPr>
            <w:tcW w:type="dxa" w:w="1520"/>
            <w:shd w:fill="1F3864" w:val="clear"/>
            <w:tcMar>
              <w:top w:type="dxa" w:w="80"/>
              <w:left w:type="dxa" w:w="100"/>
              <w:bottom w:type="dxa" w:w="80"/>
              <w:right w:type="dxa" w:w="100"/>
            </w:tcMar>
            <w:vAlign w:val="center"/>
          </w:tcPr>
          <w:p>
            <w:r>
              <w:rPr>
                <w:b/>
                <w:bCs/>
                <w:color w:val="FFFFFF"/>
                <w:sz w:val="20"/>
                <w:szCs w:val="20"/>
              </w:rPr>
              <w:t xml:space="preserve">Phase</w:t>
            </w:r>
          </w:p>
        </w:tc>
        <w:tc>
          <w:tcPr>
            <w:tcW w:type="dxa" w:w="2660"/>
            <w:shd w:fill="1F3864" w:val="clear"/>
            <w:tcMar>
              <w:top w:type="dxa" w:w="80"/>
              <w:left w:type="dxa" w:w="100"/>
              <w:bottom w:type="dxa" w:w="80"/>
              <w:right w:type="dxa" w:w="100"/>
            </w:tcMar>
            <w:vAlign w:val="center"/>
          </w:tcPr>
          <w:p>
            <w:r>
              <w:rPr>
                <w:b/>
                <w:bCs/>
                <w:color w:val="FFFFFF"/>
                <w:sz w:val="20"/>
                <w:szCs w:val="20"/>
              </w:rPr>
              <w:t xml:space="preserve">Focus</w:t>
            </w:r>
          </w:p>
        </w:tc>
        <w:tc>
          <w:tcPr>
            <w:tcW w:type="dxa" w:w="5320"/>
            <w:shd w:fill="1F3864" w:val="clear"/>
            <w:tcMar>
              <w:top w:type="dxa" w:w="80"/>
              <w:left w:type="dxa" w:w="100"/>
              <w:bottom w:type="dxa" w:w="80"/>
              <w:right w:type="dxa" w:w="100"/>
            </w:tcMar>
            <w:vAlign w:val="center"/>
          </w:tcPr>
          <w:p>
            <w:r>
              <w:rPr>
                <w:b/>
                <w:bCs/>
                <w:color w:val="FFFFFF"/>
                <w:sz w:val="20"/>
                <w:szCs w:val="20"/>
              </w:rPr>
              <w:t xml:space="preserve">Key Deliverable Carried Forward</w:t>
            </w:r>
          </w:p>
        </w:tc>
      </w:tr>
      <w:tr>
        <w:tc>
          <w:tcPr>
            <w:tcW w:type="dxa" w:w="1520"/>
            <w:tcMar>
              <w:top w:type="dxa" w:w="80"/>
              <w:left w:type="dxa" w:w="100"/>
              <w:bottom w:type="dxa" w:w="80"/>
              <w:right w:type="dxa" w:w="100"/>
            </w:tcMar>
            <w:vAlign w:val="center"/>
          </w:tcPr>
          <w:p>
            <w:r>
              <w:rPr>
                <w:b w:val="false"/>
                <w:bCs w:val="false"/>
                <w:sz w:val="20"/>
                <w:szCs w:val="20"/>
              </w:rPr>
              <w:t xml:space="preserve">Week 1</w:t>
            </w:r>
          </w:p>
        </w:tc>
        <w:tc>
          <w:tcPr>
            <w:tcW w:type="dxa" w:w="2660"/>
            <w:tcMar>
              <w:top w:type="dxa" w:w="80"/>
              <w:left w:type="dxa" w:w="100"/>
              <w:bottom w:type="dxa" w:w="80"/>
              <w:right w:type="dxa" w:w="100"/>
            </w:tcMar>
            <w:vAlign w:val="center"/>
          </w:tcPr>
          <w:p>
            <w:r>
              <w:rPr>
                <w:b w:val="false"/>
                <w:bCs w:val="false"/>
                <w:sz w:val="20"/>
                <w:szCs w:val="20"/>
              </w:rPr>
              <w:t xml:space="preserve">BI Strategy &amp; Requirements</w:t>
            </w:r>
          </w:p>
        </w:tc>
        <w:tc>
          <w:tcPr>
            <w:tcW w:type="dxa" w:w="5320"/>
            <w:tcMar>
              <w:top w:type="dxa" w:w="80"/>
              <w:left w:type="dxa" w:w="100"/>
              <w:bottom w:type="dxa" w:w="80"/>
              <w:right w:type="dxa" w:w="100"/>
            </w:tcMar>
            <w:vAlign w:val="center"/>
          </w:tcPr>
          <w:p>
            <w:r>
              <w:rPr>
                <w:b w:val="false"/>
                <w:bCs w:val="false"/>
                <w:sz w:val="20"/>
                <w:szCs w:val="20"/>
              </w:rPr>
              <w:t xml:space="preserve">Stakeholder-aligned KPI catalogue and BI strategy brief defining what "good" looks like for cost, schedule, and resource reporting.</w:t>
            </w:r>
          </w:p>
        </w:tc>
      </w:tr>
      <w:tr>
        <w:tc>
          <w:tcPr>
            <w:tcW w:type="dxa" w:w="1520"/>
            <w:tcMar>
              <w:top w:type="dxa" w:w="80"/>
              <w:left w:type="dxa" w:w="100"/>
              <w:bottom w:type="dxa" w:w="80"/>
              <w:right w:type="dxa" w:w="100"/>
            </w:tcMar>
            <w:vAlign w:val="center"/>
          </w:tcPr>
          <w:p>
            <w:r>
              <w:rPr>
                <w:b w:val="false"/>
                <w:bCs w:val="false"/>
                <w:sz w:val="20"/>
                <w:szCs w:val="20"/>
              </w:rPr>
              <w:t xml:space="preserve">Week 2</w:t>
            </w:r>
          </w:p>
        </w:tc>
        <w:tc>
          <w:tcPr>
            <w:tcW w:type="dxa" w:w="2660"/>
            <w:tcMar>
              <w:top w:type="dxa" w:w="80"/>
              <w:left w:type="dxa" w:w="100"/>
              <w:bottom w:type="dxa" w:w="80"/>
              <w:right w:type="dxa" w:w="100"/>
            </w:tcMar>
            <w:vAlign w:val="center"/>
          </w:tcPr>
          <w:p>
            <w:r>
              <w:rPr>
                <w:b w:val="false"/>
                <w:bCs w:val="false"/>
                <w:sz w:val="20"/>
                <w:szCs w:val="20"/>
              </w:rPr>
              <w:t xml:space="preserve">Data Modeling</w:t>
            </w:r>
          </w:p>
        </w:tc>
        <w:tc>
          <w:tcPr>
            <w:tcW w:type="dxa" w:w="5320"/>
            <w:tcMar>
              <w:top w:type="dxa" w:w="80"/>
              <w:left w:type="dxa" w:w="100"/>
              <w:bottom w:type="dxa" w:w="80"/>
              <w:right w:type="dxa" w:w="100"/>
            </w:tcMar>
            <w:vAlign w:val="center"/>
          </w:tcPr>
          <w:p>
            <w:r>
              <w:rPr>
                <w:b w:val="false"/>
                <w:bCs w:val="false"/>
                <w:sz w:val="20"/>
                <w:szCs w:val="20"/>
              </w:rPr>
              <w:t xml:space="preserve">Star-schema semantic model (Fact_ProjectPeriod + Dim_Project/Task/Date/Resource/Region) built in Power BI, with cleaned Power Query ETL.</w:t>
            </w:r>
          </w:p>
        </w:tc>
      </w:tr>
      <w:tr>
        <w:tc>
          <w:tcPr>
            <w:tcW w:type="dxa" w:w="1520"/>
            <w:tcMar>
              <w:top w:type="dxa" w:w="80"/>
              <w:left w:type="dxa" w:w="100"/>
              <w:bottom w:type="dxa" w:w="80"/>
              <w:right w:type="dxa" w:w="100"/>
            </w:tcMar>
            <w:vAlign w:val="center"/>
          </w:tcPr>
          <w:p>
            <w:r>
              <w:rPr>
                <w:b w:val="false"/>
                <w:bCs w:val="false"/>
                <w:sz w:val="20"/>
                <w:szCs w:val="20"/>
              </w:rPr>
              <w:t xml:space="preserve">Week 3–4</w:t>
            </w:r>
          </w:p>
        </w:tc>
        <w:tc>
          <w:tcPr>
            <w:tcW w:type="dxa" w:w="2660"/>
            <w:tcMar>
              <w:top w:type="dxa" w:w="80"/>
              <w:left w:type="dxa" w:w="100"/>
              <w:bottom w:type="dxa" w:w="80"/>
              <w:right w:type="dxa" w:w="100"/>
            </w:tcMar>
            <w:vAlign w:val="center"/>
          </w:tcPr>
          <w:p>
            <w:r>
              <w:rPr>
                <w:b w:val="false"/>
                <w:bCs w:val="false"/>
                <w:sz w:val="20"/>
                <w:szCs w:val="20"/>
              </w:rPr>
              <w:t xml:space="preserve">Dashboard Design</w:t>
            </w:r>
          </w:p>
        </w:tc>
        <w:tc>
          <w:tcPr>
            <w:tcW w:type="dxa" w:w="5320"/>
            <w:tcMar>
              <w:top w:type="dxa" w:w="80"/>
              <w:left w:type="dxa" w:w="100"/>
              <w:bottom w:type="dxa" w:w="80"/>
              <w:right w:type="dxa" w:w="100"/>
            </w:tcMar>
            <w:vAlign w:val="center"/>
          </w:tcPr>
          <w:p>
            <w:r>
              <w:rPr>
                <w:b w:val="false"/>
                <w:bCs w:val="false"/>
                <w:sz w:val="20"/>
                <w:szCs w:val="20"/>
              </w:rPr>
              <w:t xml:space="preserve">Multi-page Power BI report/App: Portfolio Overview, Budget Forecast, Resource Planning, and Schedule Risk pages with role-based RLS.</w:t>
            </w:r>
          </w:p>
        </w:tc>
      </w:tr>
      <w:tr>
        <w:tc>
          <w:tcPr>
            <w:tcW w:type="dxa" w:w="1520"/>
            <w:tcMar>
              <w:top w:type="dxa" w:w="80"/>
              <w:left w:type="dxa" w:w="100"/>
              <w:bottom w:type="dxa" w:w="80"/>
              <w:right w:type="dxa" w:w="100"/>
            </w:tcMar>
            <w:vAlign w:val="center"/>
          </w:tcPr>
          <w:p>
            <w:r>
              <w:rPr>
                <w:b w:val="false"/>
                <w:bCs w:val="false"/>
                <w:sz w:val="20"/>
                <w:szCs w:val="20"/>
              </w:rPr>
              <w:t xml:space="preserve">Week 5</w:t>
            </w:r>
          </w:p>
        </w:tc>
        <w:tc>
          <w:tcPr>
            <w:tcW w:type="dxa" w:w="2660"/>
            <w:tcMar>
              <w:top w:type="dxa" w:w="80"/>
              <w:left w:type="dxa" w:w="100"/>
              <w:bottom w:type="dxa" w:w="80"/>
              <w:right w:type="dxa" w:w="100"/>
            </w:tcMar>
            <w:vAlign w:val="center"/>
          </w:tcPr>
          <w:p>
            <w:r>
              <w:rPr>
                <w:b w:val="false"/>
                <w:bCs w:val="false"/>
                <w:sz w:val="20"/>
                <w:szCs w:val="20"/>
              </w:rPr>
              <w:t xml:space="preserve">Predictive Analytics</w:t>
            </w:r>
          </w:p>
        </w:tc>
        <w:tc>
          <w:tcPr>
            <w:tcW w:type="dxa" w:w="5320"/>
            <w:tcMar>
              <w:top w:type="dxa" w:w="80"/>
              <w:left w:type="dxa" w:w="100"/>
              <w:bottom w:type="dxa" w:w="80"/>
              <w:right w:type="dxa" w:w="100"/>
            </w:tcMar>
            <w:vAlign w:val="center"/>
          </w:tcPr>
          <w:p>
            <w:r>
              <w:rPr>
                <w:b w:val="false"/>
                <w:bCs w:val="false"/>
                <w:sz w:val="20"/>
                <w:szCs w:val="20"/>
              </w:rPr>
              <w:t xml:space="preserve">Trained regression/classification/time-series models (budget overrun, schedule delay, resource demand) integrated into the Power BI semantic model via a scored-predictions table and DAX measures.</w:t>
            </w:r>
          </w:p>
        </w:tc>
      </w:tr>
      <w:tr>
        <w:tc>
          <w:tcPr>
            <w:tcW w:type="dxa" w:w="1520"/>
            <w:tcMar>
              <w:top w:type="dxa" w:w="80"/>
              <w:left w:type="dxa" w:w="100"/>
              <w:bottom w:type="dxa" w:w="80"/>
              <w:right w:type="dxa" w:w="100"/>
            </w:tcMar>
            <w:vAlign w:val="center"/>
          </w:tcPr>
          <w:p>
            <w:r>
              <w:rPr>
                <w:b w:val="false"/>
                <w:bCs w:val="false"/>
                <w:sz w:val="20"/>
                <w:szCs w:val="20"/>
              </w:rPr>
              <w:t xml:space="preserve">Week 6 (this report)</w:t>
            </w:r>
          </w:p>
        </w:tc>
        <w:tc>
          <w:tcPr>
            <w:tcW w:type="dxa" w:w="2660"/>
            <w:tcMar>
              <w:top w:type="dxa" w:w="80"/>
              <w:left w:type="dxa" w:w="100"/>
              <w:bottom w:type="dxa" w:w="80"/>
              <w:right w:type="dxa" w:w="100"/>
            </w:tcMar>
            <w:vAlign w:val="center"/>
          </w:tcPr>
          <w:p>
            <w:r>
              <w:rPr>
                <w:b w:val="false"/>
                <w:bCs w:val="false"/>
                <w:sz w:val="20"/>
                <w:szCs w:val="20"/>
              </w:rPr>
              <w:t xml:space="preserve">Evaluation &amp; Reporting</w:t>
            </w:r>
          </w:p>
        </w:tc>
        <w:tc>
          <w:tcPr>
            <w:tcW w:type="dxa" w:w="5320"/>
            <w:tcMar>
              <w:top w:type="dxa" w:w="80"/>
              <w:left w:type="dxa" w:w="100"/>
              <w:bottom w:type="dxa" w:w="80"/>
              <w:right w:type="dxa" w:w="100"/>
            </w:tcMar>
            <w:vAlign w:val="center"/>
          </w:tcPr>
          <w:p>
            <w:r>
              <w:rPr>
                <w:b w:val="false"/>
                <w:bCs w:val="false"/>
                <w:sz w:val="20"/>
                <w:szCs w:val="20"/>
              </w:rPr>
              <w:t xml:space="preserve">Independent assessment of the combined solution against KPI targets, with recommendations and a forward roadmap.</w:t>
            </w:r>
          </w:p>
        </w:tc>
      </w:tr>
    </w:tbl>
    <w:p>
      <w:pPr>
        <w:spacing w:after="160" w:line="276"/>
      </w:pPr>
      <w:r>
        <w:rPr>
          <w:sz w:val="22"/>
          <w:szCs w:val="22"/>
        </w:rPr>
        <w:t xml:space="preserve"/>
      </w:r>
    </w:p>
    <w:p>
      <w:pPr>
        <w:spacing w:after="160" w:line="276"/>
      </w:pPr>
      <w:r>
        <w:rPr>
          <w:sz w:val="22"/>
          <w:szCs w:val="22"/>
        </w:rPr>
        <w:t xml:space="preserve">Because Weeks 2–5 all fed into the same Power BI solution, this report evaluates that solution holistically rather than grading each week in isolation — a data model is only as good as the dashboards and predictions it supports, and predictions are only as trustworthy as the model underneath them.</w:t>
      </w:r>
    </w:p>
    <w:p>
      <w:pPr>
        <w:pStyle w:val="Heading1"/>
        <w:spacing w:after="200" w:before="400"/>
      </w:pPr>
      <w:r>
        <w:t xml:space="preserve">3. Evaluation Methodology and Scoring Rubric</w:t>
      </w:r>
    </w:p>
    <w:p>
      <w:pPr>
        <w:spacing w:after="160" w:line="276"/>
      </w:pPr>
      <w:r>
        <w:rPr>
          <w:sz w:val="22"/>
          <w:szCs w:val="22"/>
        </w:rPr>
        <w:t xml:space="preserve">The evaluation simulates the review a BI Lead or PMO would conduct before promoting a Power BI solution from pilot to portfolio-wide rollout. Each of the three pillars is broken into 4–5 measurable sub-metrics. Every sub-metric is scored 0–100 against a defined target, then combined into a pillar score and an overall composite score using the weights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50"/>
        <w:gridCol w:w="1425"/>
        <w:gridCol w:w="5225"/>
      </w:tblGrid>
      <w:tr>
        <w:trPr>
          <w:tblHeader/>
        </w:trPr>
        <w:tc>
          <w:tcPr>
            <w:tcW w:type="dxa" w:w="2850"/>
            <w:shd w:fill="1F3864" w:val="clear"/>
            <w:tcMar>
              <w:top w:type="dxa" w:w="80"/>
              <w:left w:type="dxa" w:w="100"/>
              <w:bottom w:type="dxa" w:w="80"/>
              <w:right w:type="dxa" w:w="100"/>
            </w:tcMar>
            <w:vAlign w:val="center"/>
          </w:tcPr>
          <w:p>
            <w:r>
              <w:rPr>
                <w:b/>
                <w:bCs/>
                <w:color w:val="FFFFFF"/>
                <w:sz w:val="20"/>
                <w:szCs w:val="20"/>
              </w:rPr>
              <w:t xml:space="preserve">Pillar</w:t>
            </w:r>
          </w:p>
        </w:tc>
        <w:tc>
          <w:tcPr>
            <w:tcW w:type="dxa" w:w="1425"/>
            <w:shd w:fill="1F3864" w:val="clear"/>
            <w:tcMar>
              <w:top w:type="dxa" w:w="80"/>
              <w:left w:type="dxa" w:w="100"/>
              <w:bottom w:type="dxa" w:w="80"/>
              <w:right w:type="dxa" w:w="100"/>
            </w:tcMar>
            <w:vAlign w:val="center"/>
          </w:tcPr>
          <w:p>
            <w:r>
              <w:rPr>
                <w:b/>
                <w:bCs/>
                <w:color w:val="FFFFFF"/>
                <w:sz w:val="20"/>
                <w:szCs w:val="20"/>
              </w:rPr>
              <w:t xml:space="preserve">Weight</w:t>
            </w:r>
          </w:p>
        </w:tc>
        <w:tc>
          <w:tcPr>
            <w:tcW w:type="dxa" w:w="5225"/>
            <w:shd w:fill="1F3864" w:val="clear"/>
            <w:tcMar>
              <w:top w:type="dxa" w:w="80"/>
              <w:left w:type="dxa" w:w="100"/>
              <w:bottom w:type="dxa" w:w="80"/>
              <w:right w:type="dxa" w:w="100"/>
            </w:tcMar>
            <w:vAlign w:val="center"/>
          </w:tcPr>
          <w:p>
            <w:r>
              <w:rPr>
                <w:b/>
                <w:bCs/>
                <w:color w:val="FFFFFF"/>
                <w:sz w:val="20"/>
                <w:szCs w:val="20"/>
              </w:rPr>
              <w:t xml:space="preserve">Rationale for Weight</w:t>
            </w:r>
          </w:p>
        </w:tc>
      </w:tr>
      <w:tr>
        <w:tc>
          <w:tcPr>
            <w:tcW w:type="dxa" w:w="2850"/>
            <w:tcMar>
              <w:top w:type="dxa" w:w="80"/>
              <w:left w:type="dxa" w:w="100"/>
              <w:bottom w:type="dxa" w:w="80"/>
              <w:right w:type="dxa" w:w="100"/>
            </w:tcMar>
            <w:vAlign w:val="center"/>
          </w:tcPr>
          <w:p>
            <w:r>
              <w:rPr>
                <w:b w:val="false"/>
                <w:bCs w:val="false"/>
                <w:sz w:val="20"/>
                <w:szCs w:val="20"/>
              </w:rPr>
              <w:t xml:space="preserve">Dashboard Effectiveness</w:t>
            </w:r>
          </w:p>
        </w:tc>
        <w:tc>
          <w:tcPr>
            <w:tcW w:type="dxa" w:w="1425"/>
            <w:tcMar>
              <w:top w:type="dxa" w:w="80"/>
              <w:left w:type="dxa" w:w="100"/>
              <w:bottom w:type="dxa" w:w="80"/>
              <w:right w:type="dxa" w:w="100"/>
            </w:tcMar>
            <w:vAlign w:val="center"/>
          </w:tcPr>
          <w:p>
            <w:r>
              <w:rPr>
                <w:b w:val="false"/>
                <w:bCs w:val="false"/>
                <w:sz w:val="20"/>
                <w:szCs w:val="20"/>
              </w:rPr>
              <w:t xml:space="preserve">30%</w:t>
            </w:r>
          </w:p>
        </w:tc>
        <w:tc>
          <w:tcPr>
            <w:tcW w:type="dxa" w:w="5225"/>
            <w:tcMar>
              <w:top w:type="dxa" w:w="80"/>
              <w:left w:type="dxa" w:w="100"/>
              <w:bottom w:type="dxa" w:w="80"/>
              <w:right w:type="dxa" w:w="100"/>
            </w:tcMar>
            <w:vAlign w:val="center"/>
          </w:tcPr>
          <w:p>
            <w:r>
              <w:rPr>
                <w:b w:val="false"/>
                <w:bCs w:val="false"/>
                <w:sz w:val="20"/>
                <w:szCs w:val="20"/>
              </w:rPr>
              <w:t xml:space="preserve">Directly determines whether stakeholders adopt and act on the insights; a technically perfect model is worthless if the dashboard is not used.</w:t>
            </w:r>
          </w:p>
        </w:tc>
      </w:tr>
      <w:tr>
        <w:tc>
          <w:tcPr>
            <w:tcW w:type="dxa" w:w="2850"/>
            <w:tcMar>
              <w:top w:type="dxa" w:w="80"/>
              <w:left w:type="dxa" w:w="100"/>
              <w:bottom w:type="dxa" w:w="80"/>
              <w:right w:type="dxa" w:w="100"/>
            </w:tcMar>
            <w:vAlign w:val="center"/>
          </w:tcPr>
          <w:p>
            <w:r>
              <w:rPr>
                <w:b w:val="false"/>
                <w:bCs w:val="false"/>
                <w:sz w:val="20"/>
                <w:szCs w:val="20"/>
              </w:rPr>
              <w:t xml:space="preserve">Data Model Robustness</w:t>
            </w:r>
          </w:p>
        </w:tc>
        <w:tc>
          <w:tcPr>
            <w:tcW w:type="dxa" w:w="1425"/>
            <w:tcMar>
              <w:top w:type="dxa" w:w="80"/>
              <w:left w:type="dxa" w:w="100"/>
              <w:bottom w:type="dxa" w:w="80"/>
              <w:right w:type="dxa" w:w="100"/>
            </w:tcMar>
            <w:vAlign w:val="center"/>
          </w:tcPr>
          <w:p>
            <w:r>
              <w:rPr>
                <w:b w:val="false"/>
                <w:bCs w:val="false"/>
                <w:sz w:val="20"/>
                <w:szCs w:val="20"/>
              </w:rPr>
              <w:t xml:space="preserve">35%</w:t>
            </w:r>
          </w:p>
        </w:tc>
        <w:tc>
          <w:tcPr>
            <w:tcW w:type="dxa" w:w="5225"/>
            <w:tcMar>
              <w:top w:type="dxa" w:w="80"/>
              <w:left w:type="dxa" w:w="100"/>
              <w:bottom w:type="dxa" w:w="80"/>
              <w:right w:type="dxa" w:w="100"/>
            </w:tcMar>
            <w:vAlign w:val="center"/>
          </w:tcPr>
          <w:p>
            <w:r>
              <w:rPr>
                <w:b w:val="false"/>
                <w:bCs w:val="false"/>
                <w:sz w:val="20"/>
                <w:szCs w:val="20"/>
              </w:rPr>
              <w:t xml:space="preserve">The foundation layer — poor data quality or a fragile schema undermines both the dashboards and the predictive models built on top of it.</w:t>
            </w:r>
          </w:p>
        </w:tc>
      </w:tr>
      <w:tr>
        <w:tc>
          <w:tcPr>
            <w:tcW w:type="dxa" w:w="2850"/>
            <w:tcMar>
              <w:top w:type="dxa" w:w="80"/>
              <w:left w:type="dxa" w:w="100"/>
              <w:bottom w:type="dxa" w:w="80"/>
              <w:right w:type="dxa" w:w="100"/>
            </w:tcMar>
            <w:vAlign w:val="center"/>
          </w:tcPr>
          <w:p>
            <w:r>
              <w:rPr>
                <w:b w:val="false"/>
                <w:bCs w:val="false"/>
                <w:sz w:val="20"/>
                <w:szCs w:val="20"/>
              </w:rPr>
              <w:t xml:space="preserve">Predictive Analytics Impact</w:t>
            </w:r>
          </w:p>
        </w:tc>
        <w:tc>
          <w:tcPr>
            <w:tcW w:type="dxa" w:w="1425"/>
            <w:tcMar>
              <w:top w:type="dxa" w:w="80"/>
              <w:left w:type="dxa" w:w="100"/>
              <w:bottom w:type="dxa" w:w="80"/>
              <w:right w:type="dxa" w:w="100"/>
            </w:tcMar>
            <w:vAlign w:val="center"/>
          </w:tcPr>
          <w:p>
            <w:r>
              <w:rPr>
                <w:b w:val="false"/>
                <w:bCs w:val="false"/>
                <w:sz w:val="20"/>
                <w:szCs w:val="20"/>
              </w:rPr>
              <w:t xml:space="preserve">35%</w:t>
            </w:r>
          </w:p>
        </w:tc>
        <w:tc>
          <w:tcPr>
            <w:tcW w:type="dxa" w:w="5225"/>
            <w:tcMar>
              <w:top w:type="dxa" w:w="80"/>
              <w:left w:type="dxa" w:w="100"/>
              <w:bottom w:type="dxa" w:w="80"/>
              <w:right w:type="dxa" w:w="100"/>
            </w:tcMar>
            <w:vAlign w:val="center"/>
          </w:tcPr>
          <w:p>
            <w:r>
              <w:rPr>
                <w:b w:val="false"/>
                <w:bCs w:val="false"/>
                <w:sz w:val="20"/>
                <w:szCs w:val="20"/>
              </w:rPr>
              <w:t xml:space="preserve">The differentiating capability requested by the internship brief; weighted equally with the data model since predictions are the primary value-add of this program.</w:t>
            </w:r>
          </w:p>
        </w:tc>
      </w:tr>
    </w:tbl>
    <w:p>
      <w:pPr>
        <w:spacing w:after="160" w:line="276"/>
      </w:pPr>
      <w:r>
        <w:rPr>
          <w:sz w:val="22"/>
          <w:szCs w:val="22"/>
        </w:rPr>
        <w:t xml:space="preserve"/>
      </w:r>
    </w:p>
    <w:p>
      <w:pPr>
        <w:spacing w:after="160" w:line="276"/>
      </w:pPr>
      <w:r>
        <w:rPr>
          <w:sz w:val="22"/>
          <w:szCs w:val="22"/>
        </w:rPr>
        <w:t xml:space="preserve">Scoring bands applied to the overall composite score:</w:t>
      </w:r>
    </w:p>
    <w:p>
      <w:pPr>
        <w:pStyle w:val="ListParagraph"/>
        <w:numPr>
          <w:ilvl w:val="0"/>
          <w:numId w:val="2"/>
        </w:numPr>
        <w:spacing w:after="90"/>
      </w:pPr>
      <w:r>
        <w:rPr>
          <w:sz w:val="22"/>
          <w:szCs w:val="22"/>
        </w:rPr>
        <w:t xml:space="preserve">90–100 — Excellent: ready for portfolio-wide rollout with minimal changes.</w:t>
      </w:r>
    </w:p>
    <w:p>
      <w:pPr>
        <w:pStyle w:val="ListParagraph"/>
        <w:numPr>
          <w:ilvl w:val="0"/>
          <w:numId w:val="2"/>
        </w:numPr>
        <w:spacing w:after="90"/>
      </w:pPr>
      <w:r>
        <w:rPr>
          <w:sz w:val="22"/>
          <w:szCs w:val="22"/>
        </w:rPr>
        <w:t xml:space="preserve">75–89 — Strong: production-ready with targeted improvements.</w:t>
      </w:r>
    </w:p>
    <w:p>
      <w:pPr>
        <w:pStyle w:val="ListParagraph"/>
        <w:numPr>
          <w:ilvl w:val="0"/>
          <w:numId w:val="2"/>
        </w:numPr>
        <w:spacing w:after="90"/>
      </w:pPr>
      <w:r>
        <w:rPr>
          <w:sz w:val="22"/>
          <w:szCs w:val="22"/>
        </w:rPr>
        <w:t xml:space="preserve">60–74 — Adequate: pilot-stage; needs meaningful rework before scaling.</w:t>
      </w:r>
    </w:p>
    <w:p>
      <w:pPr>
        <w:pStyle w:val="ListParagraph"/>
        <w:numPr>
          <w:ilvl w:val="0"/>
          <w:numId w:val="2"/>
        </w:numPr>
        <w:spacing w:after="90"/>
      </w:pPr>
      <w:r>
        <w:rPr>
          <w:sz w:val="22"/>
          <w:szCs w:val="22"/>
        </w:rPr>
        <w:t xml:space="preserve">Below 60 — Needs Redesign: core assumptions or architecture should be revisited.</w:t>
      </w:r>
    </w:p>
    <w:p>
      <w:pPr>
        <w:pStyle w:val="Heading1"/>
        <w:spacing w:after="200" w:before="400"/>
      </w:pPr>
      <w:r>
        <w:t xml:space="preserve">4. KPI and Evaluation Metrics Framework</w:t>
      </w:r>
    </w:p>
    <w:p>
      <w:pPr>
        <w:spacing w:after="160" w:line="276"/>
      </w:pPr>
      <w:r>
        <w:rPr>
          <w:sz w:val="22"/>
          <w:szCs w:val="22"/>
        </w:rPr>
        <w:t xml:space="preserve">The following KPIs were developed specifically to measure Power BI-based virtual construction BI performance across the three pillars. Full scoring detail, formulas, and weighting live in the companion workbook Task6_Evaluation_Scorecard.xlsx; the tables below summarize each metric and its target.</w:t>
      </w:r>
    </w:p>
    <w:p>
      <w:pPr>
        <w:pStyle w:val="Heading2"/>
        <w:spacing w:after="150" w:before="300"/>
      </w:pPr>
      <w:r>
        <w:t xml:space="preserve">4.1 Dashboard Effectiveness KPIs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91"/>
        <w:gridCol w:w="4664"/>
        <w:gridCol w:w="2245"/>
      </w:tblGrid>
      <w:tr>
        <w:trPr>
          <w:tblHeader/>
        </w:trPr>
        <w:tc>
          <w:tcPr>
            <w:tcW w:type="dxa" w:w="2591"/>
            <w:shd w:fill="1F3864" w:val="clear"/>
            <w:tcMar>
              <w:top w:type="dxa" w:w="80"/>
              <w:left w:type="dxa" w:w="100"/>
              <w:bottom w:type="dxa" w:w="80"/>
              <w:right w:type="dxa" w:w="100"/>
            </w:tcMar>
            <w:vAlign w:val="center"/>
          </w:tcPr>
          <w:p>
            <w:r>
              <w:rPr>
                <w:b/>
                <w:bCs/>
                <w:color w:val="FFFFFF"/>
                <w:sz w:val="20"/>
                <w:szCs w:val="20"/>
              </w:rPr>
              <w:t xml:space="preserve">Metric</w:t>
            </w:r>
          </w:p>
        </w:tc>
        <w:tc>
          <w:tcPr>
            <w:tcW w:type="dxa" w:w="4664"/>
            <w:shd w:fill="1F3864" w:val="clear"/>
            <w:tcMar>
              <w:top w:type="dxa" w:w="80"/>
              <w:left w:type="dxa" w:w="100"/>
              <w:bottom w:type="dxa" w:w="80"/>
              <w:right w:type="dxa" w:w="100"/>
            </w:tcMar>
            <w:vAlign w:val="center"/>
          </w:tcPr>
          <w:p>
            <w:r>
              <w:rPr>
                <w:b/>
                <w:bCs/>
                <w:color w:val="FFFFFF"/>
                <w:sz w:val="20"/>
                <w:szCs w:val="20"/>
              </w:rPr>
              <w:t xml:space="preserve">Definition</w:t>
            </w:r>
          </w:p>
        </w:tc>
        <w:tc>
          <w:tcPr>
            <w:tcW w:type="dxa" w:w="2245"/>
            <w:shd w:fill="1F3864" w:val="clear"/>
            <w:tcMar>
              <w:top w:type="dxa" w:w="80"/>
              <w:left w:type="dxa" w:w="100"/>
              <w:bottom w:type="dxa" w:w="80"/>
              <w:right w:type="dxa" w:w="100"/>
            </w:tcMar>
            <w:vAlign w:val="center"/>
          </w:tcPr>
          <w:p>
            <w:r>
              <w:rPr>
                <w:b/>
                <w:bCs/>
                <w:color w:val="FFFFFF"/>
                <w:sz w:val="20"/>
                <w:szCs w:val="20"/>
              </w:rPr>
              <w:t xml:space="preserve">Target</w:t>
            </w:r>
          </w:p>
        </w:tc>
      </w:tr>
      <w:tr>
        <w:tc>
          <w:tcPr>
            <w:tcW w:type="dxa" w:w="2591"/>
            <w:tcMar>
              <w:top w:type="dxa" w:w="80"/>
              <w:left w:type="dxa" w:w="100"/>
              <w:bottom w:type="dxa" w:w="80"/>
              <w:right w:type="dxa" w:w="100"/>
            </w:tcMar>
            <w:vAlign w:val="center"/>
          </w:tcPr>
          <w:p>
            <w:r>
              <w:rPr>
                <w:b w:val="false"/>
                <w:bCs w:val="false"/>
                <w:sz w:val="20"/>
                <w:szCs w:val="20"/>
              </w:rPr>
              <w:t xml:space="preserve">Usability &amp; Navigation Score</w:t>
            </w:r>
          </w:p>
        </w:tc>
        <w:tc>
          <w:tcPr>
            <w:tcW w:type="dxa" w:w="4664"/>
            <w:tcMar>
              <w:top w:type="dxa" w:w="80"/>
              <w:left w:type="dxa" w:w="100"/>
              <w:bottom w:type="dxa" w:w="80"/>
              <w:right w:type="dxa" w:w="100"/>
            </w:tcMar>
            <w:vAlign w:val="center"/>
          </w:tcPr>
          <w:p>
            <w:r>
              <w:rPr>
                <w:b w:val="false"/>
                <w:bCs w:val="false"/>
                <w:sz w:val="20"/>
                <w:szCs w:val="20"/>
              </w:rPr>
              <w:t xml:space="preserve">Weighted score from a 5-user task-completion test (find overrun-risk project, drill to task level, interpret a forecast)</w:t>
            </w:r>
          </w:p>
        </w:tc>
        <w:tc>
          <w:tcPr>
            <w:tcW w:type="dxa" w:w="2245"/>
            <w:tcMar>
              <w:top w:type="dxa" w:w="80"/>
              <w:left w:type="dxa" w:w="100"/>
              <w:bottom w:type="dxa" w:w="80"/>
              <w:right w:type="dxa" w:w="100"/>
            </w:tcMar>
            <w:vAlign w:val="center"/>
          </w:tcPr>
          <w:p>
            <w:r>
              <w:rPr>
                <w:b w:val="false"/>
                <w:bCs w:val="false"/>
                <w:sz w:val="20"/>
                <w:szCs w:val="20"/>
              </w:rPr>
              <w:t xml:space="preserve">≥ 85</w:t>
            </w:r>
          </w:p>
        </w:tc>
      </w:tr>
      <w:tr>
        <w:tc>
          <w:tcPr>
            <w:tcW w:type="dxa" w:w="2591"/>
            <w:tcMar>
              <w:top w:type="dxa" w:w="80"/>
              <w:left w:type="dxa" w:w="100"/>
              <w:bottom w:type="dxa" w:w="80"/>
              <w:right w:type="dxa" w:w="100"/>
            </w:tcMar>
            <w:vAlign w:val="center"/>
          </w:tcPr>
          <w:p>
            <w:r>
              <w:rPr>
                <w:b w:val="false"/>
                <w:bCs w:val="false"/>
                <w:sz w:val="20"/>
                <w:szCs w:val="20"/>
              </w:rPr>
              <w:t xml:space="preserve">Report Load / Refresh Performance</w:t>
            </w:r>
          </w:p>
        </w:tc>
        <w:tc>
          <w:tcPr>
            <w:tcW w:type="dxa" w:w="4664"/>
            <w:tcMar>
              <w:top w:type="dxa" w:w="80"/>
              <w:left w:type="dxa" w:w="100"/>
              <w:bottom w:type="dxa" w:w="80"/>
              <w:right w:type="dxa" w:w="100"/>
            </w:tcMar>
            <w:vAlign w:val="center"/>
          </w:tcPr>
          <w:p>
            <w:r>
              <w:rPr>
                <w:b w:val="false"/>
                <w:bCs w:val="false"/>
                <w:sz w:val="20"/>
                <w:szCs w:val="20"/>
              </w:rPr>
              <w:t xml:space="preserve">Average report open time (s) and scheduled refresh success rate</w:t>
            </w:r>
          </w:p>
        </w:tc>
        <w:tc>
          <w:tcPr>
            <w:tcW w:type="dxa" w:w="2245"/>
            <w:tcMar>
              <w:top w:type="dxa" w:w="80"/>
              <w:left w:type="dxa" w:w="100"/>
              <w:bottom w:type="dxa" w:w="80"/>
              <w:right w:type="dxa" w:w="100"/>
            </w:tcMar>
            <w:vAlign w:val="center"/>
          </w:tcPr>
          <w:p>
            <w:r>
              <w:rPr>
                <w:b w:val="false"/>
                <w:bCs w:val="false"/>
                <w:sz w:val="20"/>
                <w:szCs w:val="20"/>
              </w:rPr>
              <w:t xml:space="preserve">Open &lt; 5s; Refresh success ≥ 98%</w:t>
            </w:r>
          </w:p>
        </w:tc>
      </w:tr>
      <w:tr>
        <w:tc>
          <w:tcPr>
            <w:tcW w:type="dxa" w:w="2591"/>
            <w:tcMar>
              <w:top w:type="dxa" w:w="80"/>
              <w:left w:type="dxa" w:w="100"/>
              <w:bottom w:type="dxa" w:w="80"/>
              <w:right w:type="dxa" w:w="100"/>
            </w:tcMar>
            <w:vAlign w:val="center"/>
          </w:tcPr>
          <w:p>
            <w:r>
              <w:rPr>
                <w:b w:val="false"/>
                <w:bCs w:val="false"/>
                <w:sz w:val="20"/>
                <w:szCs w:val="20"/>
              </w:rPr>
              <w:t xml:space="preserve">Adoption &amp; Engagement</w:t>
            </w:r>
          </w:p>
        </w:tc>
        <w:tc>
          <w:tcPr>
            <w:tcW w:type="dxa" w:w="4664"/>
            <w:tcMar>
              <w:top w:type="dxa" w:w="80"/>
              <w:left w:type="dxa" w:w="100"/>
              <w:bottom w:type="dxa" w:w="80"/>
              <w:right w:type="dxa" w:w="100"/>
            </w:tcMar>
            <w:vAlign w:val="center"/>
          </w:tcPr>
          <w:p>
            <w:r>
              <w:rPr>
                <w:b w:val="false"/>
                <w:bCs w:val="false"/>
                <w:sz w:val="20"/>
                <w:szCs w:val="20"/>
              </w:rPr>
              <w:t xml:space="preserve">Weekly active users ÷ licensed users; average session depth (pages viewed)</w:t>
            </w:r>
          </w:p>
        </w:tc>
        <w:tc>
          <w:tcPr>
            <w:tcW w:type="dxa" w:w="2245"/>
            <w:tcMar>
              <w:top w:type="dxa" w:w="80"/>
              <w:left w:type="dxa" w:w="100"/>
              <w:bottom w:type="dxa" w:w="80"/>
              <w:right w:type="dxa" w:w="100"/>
            </w:tcMar>
            <w:vAlign w:val="center"/>
          </w:tcPr>
          <w:p>
            <w:r>
              <w:rPr>
                <w:b w:val="false"/>
                <w:bCs w:val="false"/>
                <w:sz w:val="20"/>
                <w:szCs w:val="20"/>
              </w:rPr>
              <w:t xml:space="preserve">≥ 70% WAU; ≥ 3 pages/session</w:t>
            </w:r>
          </w:p>
        </w:tc>
      </w:tr>
      <w:tr>
        <w:tc>
          <w:tcPr>
            <w:tcW w:type="dxa" w:w="2591"/>
            <w:tcMar>
              <w:top w:type="dxa" w:w="80"/>
              <w:left w:type="dxa" w:w="100"/>
              <w:bottom w:type="dxa" w:w="80"/>
              <w:right w:type="dxa" w:w="100"/>
            </w:tcMar>
            <w:vAlign w:val="center"/>
          </w:tcPr>
          <w:p>
            <w:r>
              <w:rPr>
                <w:b w:val="false"/>
                <w:bCs w:val="false"/>
                <w:sz w:val="20"/>
                <w:szCs w:val="20"/>
              </w:rPr>
              <w:t xml:space="preserve">Mobile / Cross-Device Usability</w:t>
            </w:r>
          </w:p>
        </w:tc>
        <w:tc>
          <w:tcPr>
            <w:tcW w:type="dxa" w:w="4664"/>
            <w:tcMar>
              <w:top w:type="dxa" w:w="80"/>
              <w:left w:type="dxa" w:w="100"/>
              <w:bottom w:type="dxa" w:w="80"/>
              <w:right w:type="dxa" w:w="100"/>
            </w:tcMar>
            <w:vAlign w:val="center"/>
          </w:tcPr>
          <w:p>
            <w:r>
              <w:rPr>
                <w:b w:val="false"/>
                <w:bCs w:val="false"/>
                <w:sz w:val="20"/>
                <w:szCs w:val="20"/>
              </w:rPr>
              <w:t xml:space="preserve">Layout correctness and readability on the Power BI mobile app for site-based users</w:t>
            </w:r>
          </w:p>
        </w:tc>
        <w:tc>
          <w:tcPr>
            <w:tcW w:type="dxa" w:w="2245"/>
            <w:tcMar>
              <w:top w:type="dxa" w:w="80"/>
              <w:left w:type="dxa" w:w="100"/>
              <w:bottom w:type="dxa" w:w="80"/>
              <w:right w:type="dxa" w:w="100"/>
            </w:tcMar>
            <w:vAlign w:val="center"/>
          </w:tcPr>
          <w:p>
            <w:r>
              <w:rPr>
                <w:b w:val="false"/>
                <w:bCs w:val="false"/>
                <w:sz w:val="20"/>
                <w:szCs w:val="20"/>
              </w:rPr>
              <w:t xml:space="preserve">No critical layout defects</w:t>
            </w:r>
          </w:p>
        </w:tc>
      </w:tr>
    </w:tbl>
    <w:p>
      <w:pPr>
        <w:spacing w:after="160" w:line="276"/>
      </w:pPr>
      <w:r>
        <w:rPr>
          <w:sz w:val="22"/>
          <w:szCs w:val="22"/>
        </w:rPr>
        <w:t xml:space="preserve"/>
      </w:r>
    </w:p>
    <w:p>
      <w:pPr>
        <w:pStyle w:val="Heading2"/>
        <w:spacing w:after="150" w:before="300"/>
      </w:pPr>
      <w:r>
        <w:t xml:space="preserve">4.2 Data Model Robustness KPIs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18"/>
        <w:gridCol w:w="4664"/>
        <w:gridCol w:w="2418"/>
      </w:tblGrid>
      <w:tr>
        <w:trPr>
          <w:tblHeader/>
        </w:trPr>
        <w:tc>
          <w:tcPr>
            <w:tcW w:type="dxa" w:w="2418"/>
            <w:shd w:fill="1F3864" w:val="clear"/>
            <w:tcMar>
              <w:top w:type="dxa" w:w="80"/>
              <w:left w:type="dxa" w:w="100"/>
              <w:bottom w:type="dxa" w:w="80"/>
              <w:right w:type="dxa" w:w="100"/>
            </w:tcMar>
            <w:vAlign w:val="center"/>
          </w:tcPr>
          <w:p>
            <w:r>
              <w:rPr>
                <w:b/>
                <w:bCs/>
                <w:color w:val="FFFFFF"/>
                <w:sz w:val="20"/>
                <w:szCs w:val="20"/>
              </w:rPr>
              <w:t xml:space="preserve">Metric</w:t>
            </w:r>
          </w:p>
        </w:tc>
        <w:tc>
          <w:tcPr>
            <w:tcW w:type="dxa" w:w="4664"/>
            <w:shd w:fill="1F3864" w:val="clear"/>
            <w:tcMar>
              <w:top w:type="dxa" w:w="80"/>
              <w:left w:type="dxa" w:w="100"/>
              <w:bottom w:type="dxa" w:w="80"/>
              <w:right w:type="dxa" w:w="100"/>
            </w:tcMar>
            <w:vAlign w:val="center"/>
          </w:tcPr>
          <w:p>
            <w:r>
              <w:rPr>
                <w:b/>
                <w:bCs/>
                <w:color w:val="FFFFFF"/>
                <w:sz w:val="20"/>
                <w:szCs w:val="20"/>
              </w:rPr>
              <w:t xml:space="preserve">Definition</w:t>
            </w:r>
          </w:p>
        </w:tc>
        <w:tc>
          <w:tcPr>
            <w:tcW w:type="dxa" w:w="2418"/>
            <w:shd w:fill="1F3864" w:val="clear"/>
            <w:tcMar>
              <w:top w:type="dxa" w:w="80"/>
              <w:left w:type="dxa" w:w="100"/>
              <w:bottom w:type="dxa" w:w="80"/>
              <w:right w:type="dxa" w:w="100"/>
            </w:tcMar>
            <w:vAlign w:val="center"/>
          </w:tcPr>
          <w:p>
            <w:r>
              <w:rPr>
                <w:b/>
                <w:bCs/>
                <w:color w:val="FFFFFF"/>
                <w:sz w:val="20"/>
                <w:szCs w:val="20"/>
              </w:rPr>
              <w:t xml:space="preserve">Target</w:t>
            </w:r>
          </w:p>
        </w:tc>
      </w:tr>
      <w:tr>
        <w:tc>
          <w:tcPr>
            <w:tcW w:type="dxa" w:w="2418"/>
            <w:tcMar>
              <w:top w:type="dxa" w:w="80"/>
              <w:left w:type="dxa" w:w="100"/>
              <w:bottom w:type="dxa" w:w="80"/>
              <w:right w:type="dxa" w:w="100"/>
            </w:tcMar>
            <w:vAlign w:val="center"/>
          </w:tcPr>
          <w:p>
            <w:r>
              <w:rPr>
                <w:b w:val="false"/>
                <w:bCs w:val="false"/>
                <w:sz w:val="20"/>
                <w:szCs w:val="20"/>
              </w:rPr>
              <w:t xml:space="preserve">Schema Design Adherence</w:t>
            </w:r>
          </w:p>
        </w:tc>
        <w:tc>
          <w:tcPr>
            <w:tcW w:type="dxa" w:w="4664"/>
            <w:tcMar>
              <w:top w:type="dxa" w:w="80"/>
              <w:left w:type="dxa" w:w="100"/>
              <w:bottom w:type="dxa" w:w="80"/>
              <w:right w:type="dxa" w:w="100"/>
            </w:tcMar>
            <w:vAlign w:val="center"/>
          </w:tcPr>
          <w:p>
            <w:r>
              <w:rPr>
                <w:b w:val="false"/>
                <w:bCs w:val="false"/>
                <w:sz w:val="20"/>
                <w:szCs w:val="20"/>
              </w:rPr>
              <w:t xml:space="preserve">% of tables following the intended star schema (no snowflaking, no bidirectional-filter workarounds)</w:t>
            </w:r>
          </w:p>
        </w:tc>
        <w:tc>
          <w:tcPr>
            <w:tcW w:type="dxa" w:w="2418"/>
            <w:tcMar>
              <w:top w:type="dxa" w:w="80"/>
              <w:left w:type="dxa" w:w="100"/>
              <w:bottom w:type="dxa" w:w="80"/>
              <w:right w:type="dxa" w:w="100"/>
            </w:tcMar>
            <w:vAlign w:val="center"/>
          </w:tcPr>
          <w:p>
            <w:r>
              <w:rPr>
                <w:b w:val="false"/>
                <w:bCs w:val="false"/>
                <w:sz w:val="20"/>
                <w:szCs w:val="20"/>
              </w:rPr>
              <w:t xml:space="preserve">100%</w:t>
            </w:r>
          </w:p>
        </w:tc>
      </w:tr>
      <w:tr>
        <w:tc>
          <w:tcPr>
            <w:tcW w:type="dxa" w:w="2418"/>
            <w:tcMar>
              <w:top w:type="dxa" w:w="80"/>
              <w:left w:type="dxa" w:w="100"/>
              <w:bottom w:type="dxa" w:w="80"/>
              <w:right w:type="dxa" w:w="100"/>
            </w:tcMar>
            <w:vAlign w:val="center"/>
          </w:tcPr>
          <w:p>
            <w:r>
              <w:rPr>
                <w:b w:val="false"/>
                <w:bCs w:val="false"/>
                <w:sz w:val="20"/>
                <w:szCs w:val="20"/>
              </w:rPr>
              <w:t xml:space="preserve">Data Quality Score</w:t>
            </w:r>
          </w:p>
        </w:tc>
        <w:tc>
          <w:tcPr>
            <w:tcW w:type="dxa" w:w="4664"/>
            <w:tcMar>
              <w:top w:type="dxa" w:w="80"/>
              <w:left w:type="dxa" w:w="100"/>
              <w:bottom w:type="dxa" w:w="80"/>
              <w:right w:type="dxa" w:w="100"/>
            </w:tcMar>
            <w:vAlign w:val="center"/>
          </w:tcPr>
          <w:p>
            <w:r>
              <w:rPr>
                <w:b w:val="false"/>
                <w:bCs w:val="false"/>
                <w:sz w:val="20"/>
                <w:szCs w:val="20"/>
              </w:rPr>
              <w:t xml:space="preserve">Completeness + accuracy + consistency composite across key fact/dimension fields</w:t>
            </w:r>
          </w:p>
        </w:tc>
        <w:tc>
          <w:tcPr>
            <w:tcW w:type="dxa" w:w="2418"/>
            <w:tcMar>
              <w:top w:type="dxa" w:w="80"/>
              <w:left w:type="dxa" w:w="100"/>
              <w:bottom w:type="dxa" w:w="80"/>
              <w:right w:type="dxa" w:w="100"/>
            </w:tcMar>
            <w:vAlign w:val="center"/>
          </w:tcPr>
          <w:p>
            <w:r>
              <w:rPr>
                <w:b w:val="false"/>
                <w:bCs w:val="false"/>
                <w:sz w:val="20"/>
                <w:szCs w:val="20"/>
              </w:rPr>
              <w:t xml:space="preserve">≥ 95%</w:t>
            </w:r>
          </w:p>
        </w:tc>
      </w:tr>
      <w:tr>
        <w:tc>
          <w:tcPr>
            <w:tcW w:type="dxa" w:w="2418"/>
            <w:tcMar>
              <w:top w:type="dxa" w:w="80"/>
              <w:left w:type="dxa" w:w="100"/>
              <w:bottom w:type="dxa" w:w="80"/>
              <w:right w:type="dxa" w:w="100"/>
            </w:tcMar>
            <w:vAlign w:val="center"/>
          </w:tcPr>
          <w:p>
            <w:r>
              <w:rPr>
                <w:b w:val="false"/>
                <w:bCs w:val="false"/>
                <w:sz w:val="20"/>
                <w:szCs w:val="20"/>
              </w:rPr>
              <w:t xml:space="preserve">Query Performance</w:t>
            </w:r>
          </w:p>
        </w:tc>
        <w:tc>
          <w:tcPr>
            <w:tcW w:type="dxa" w:w="4664"/>
            <w:tcMar>
              <w:top w:type="dxa" w:w="80"/>
              <w:left w:type="dxa" w:w="100"/>
              <w:bottom w:type="dxa" w:w="80"/>
              <w:right w:type="dxa" w:w="100"/>
            </w:tcMar>
            <w:vAlign w:val="center"/>
          </w:tcPr>
          <w:p>
            <w:r>
              <w:rPr>
                <w:b w:val="false"/>
                <w:bCs w:val="false"/>
                <w:sz w:val="20"/>
                <w:szCs w:val="20"/>
              </w:rPr>
              <w:t xml:space="preserve">Average DAX/visual query response time in Performance Analyzer</w:t>
            </w:r>
          </w:p>
        </w:tc>
        <w:tc>
          <w:tcPr>
            <w:tcW w:type="dxa" w:w="2418"/>
            <w:tcMar>
              <w:top w:type="dxa" w:w="80"/>
              <w:left w:type="dxa" w:w="100"/>
              <w:bottom w:type="dxa" w:w="80"/>
              <w:right w:type="dxa" w:w="100"/>
            </w:tcMar>
            <w:vAlign w:val="center"/>
          </w:tcPr>
          <w:p>
            <w:r>
              <w:rPr>
                <w:b w:val="false"/>
                <w:bCs w:val="false"/>
                <w:sz w:val="20"/>
                <w:szCs w:val="20"/>
              </w:rPr>
              <w:t xml:space="preserve">&lt; 2 seconds</w:t>
            </w:r>
          </w:p>
        </w:tc>
      </w:tr>
      <w:tr>
        <w:tc>
          <w:tcPr>
            <w:tcW w:type="dxa" w:w="2418"/>
            <w:tcMar>
              <w:top w:type="dxa" w:w="80"/>
              <w:left w:type="dxa" w:w="100"/>
              <w:bottom w:type="dxa" w:w="80"/>
              <w:right w:type="dxa" w:w="100"/>
            </w:tcMar>
            <w:vAlign w:val="center"/>
          </w:tcPr>
          <w:p>
            <w:r>
              <w:rPr>
                <w:b w:val="false"/>
                <w:bCs w:val="false"/>
                <w:sz w:val="20"/>
                <w:szCs w:val="20"/>
              </w:rPr>
              <w:t xml:space="preserve">Refresh Reliability</w:t>
            </w:r>
          </w:p>
        </w:tc>
        <w:tc>
          <w:tcPr>
            <w:tcW w:type="dxa" w:w="4664"/>
            <w:tcMar>
              <w:top w:type="dxa" w:w="80"/>
              <w:left w:type="dxa" w:w="100"/>
              <w:bottom w:type="dxa" w:w="80"/>
              <w:right w:type="dxa" w:w="100"/>
            </w:tcMar>
            <w:vAlign w:val="center"/>
          </w:tcPr>
          <w:p>
            <w:r>
              <w:rPr>
                <w:b w:val="false"/>
                <w:bCs w:val="false"/>
                <w:sz w:val="20"/>
                <w:szCs w:val="20"/>
              </w:rPr>
              <w:t xml:space="preserve">% of scheduled refreshes completed without error over a rolling 30-day window</w:t>
            </w:r>
          </w:p>
        </w:tc>
        <w:tc>
          <w:tcPr>
            <w:tcW w:type="dxa" w:w="2418"/>
            <w:tcMar>
              <w:top w:type="dxa" w:w="80"/>
              <w:left w:type="dxa" w:w="100"/>
              <w:bottom w:type="dxa" w:w="80"/>
              <w:right w:type="dxa" w:w="100"/>
            </w:tcMar>
            <w:vAlign w:val="center"/>
          </w:tcPr>
          <w:p>
            <w:r>
              <w:rPr>
                <w:b w:val="false"/>
                <w:bCs w:val="false"/>
                <w:sz w:val="20"/>
                <w:szCs w:val="20"/>
              </w:rPr>
              <w:t xml:space="preserve">≥ 98%</w:t>
            </w:r>
          </w:p>
        </w:tc>
      </w:tr>
      <w:tr>
        <w:tc>
          <w:tcPr>
            <w:tcW w:type="dxa" w:w="2418"/>
            <w:tcMar>
              <w:top w:type="dxa" w:w="80"/>
              <w:left w:type="dxa" w:w="100"/>
              <w:bottom w:type="dxa" w:w="80"/>
              <w:right w:type="dxa" w:w="100"/>
            </w:tcMar>
            <w:vAlign w:val="center"/>
          </w:tcPr>
          <w:p>
            <w:r>
              <w:rPr>
                <w:b w:val="false"/>
                <w:bCs w:val="false"/>
                <w:sz w:val="20"/>
                <w:szCs w:val="20"/>
              </w:rPr>
              <w:t xml:space="preserve">Scalability Headroom</w:t>
            </w:r>
          </w:p>
        </w:tc>
        <w:tc>
          <w:tcPr>
            <w:tcW w:type="dxa" w:w="4664"/>
            <w:tcMar>
              <w:top w:type="dxa" w:w="80"/>
              <w:left w:type="dxa" w:w="100"/>
              <w:bottom w:type="dxa" w:w="80"/>
              <w:right w:type="dxa" w:w="100"/>
            </w:tcMar>
            <w:vAlign w:val="center"/>
          </w:tcPr>
          <w:p>
            <w:r>
              <w:rPr>
                <w:b w:val="false"/>
                <w:bCs w:val="false"/>
                <w:sz w:val="20"/>
                <w:szCs w:val="20"/>
              </w:rPr>
              <w:t xml:space="preserve">Model size vs. capacity limit; row-count growth the model can absorb before redesign</w:t>
            </w:r>
          </w:p>
        </w:tc>
        <w:tc>
          <w:tcPr>
            <w:tcW w:type="dxa" w:w="2418"/>
            <w:tcMar>
              <w:top w:type="dxa" w:w="80"/>
              <w:left w:type="dxa" w:w="100"/>
              <w:bottom w:type="dxa" w:w="80"/>
              <w:right w:type="dxa" w:w="100"/>
            </w:tcMar>
            <w:vAlign w:val="center"/>
          </w:tcPr>
          <w:p>
            <w:r>
              <w:rPr>
                <w:b w:val="false"/>
                <w:bCs w:val="false"/>
                <w:sz w:val="20"/>
                <w:szCs w:val="20"/>
              </w:rPr>
              <w:t xml:space="preserve">&lt; 70% of capacity</w:t>
            </w:r>
          </w:p>
        </w:tc>
      </w:tr>
    </w:tbl>
    <w:p>
      <w:pPr>
        <w:spacing w:after="160" w:line="276"/>
      </w:pPr>
      <w:r>
        <w:rPr>
          <w:sz w:val="22"/>
          <w:szCs w:val="22"/>
        </w:rPr>
        <w:t xml:space="preserve"/>
      </w:r>
    </w:p>
    <w:p>
      <w:pPr>
        <w:pStyle w:val="Heading2"/>
        <w:spacing w:after="150" w:before="300"/>
      </w:pPr>
      <w:r>
        <w:t xml:space="preserve">4.3 Predictive Analytics Impact KPIs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91"/>
        <w:gridCol w:w="5182"/>
        <w:gridCol w:w="1727"/>
      </w:tblGrid>
      <w:tr>
        <w:trPr>
          <w:tblHeader/>
        </w:trPr>
        <w:tc>
          <w:tcPr>
            <w:tcW w:type="dxa" w:w="2591"/>
            <w:shd w:fill="1F3864" w:val="clear"/>
            <w:tcMar>
              <w:top w:type="dxa" w:w="80"/>
              <w:left w:type="dxa" w:w="100"/>
              <w:bottom w:type="dxa" w:w="80"/>
              <w:right w:type="dxa" w:w="100"/>
            </w:tcMar>
            <w:vAlign w:val="center"/>
          </w:tcPr>
          <w:p>
            <w:r>
              <w:rPr>
                <w:b/>
                <w:bCs/>
                <w:color w:val="FFFFFF"/>
                <w:sz w:val="20"/>
                <w:szCs w:val="20"/>
              </w:rPr>
              <w:t xml:space="preserve">Metric</w:t>
            </w:r>
          </w:p>
        </w:tc>
        <w:tc>
          <w:tcPr>
            <w:tcW w:type="dxa" w:w="5182"/>
            <w:shd w:fill="1F3864" w:val="clear"/>
            <w:tcMar>
              <w:top w:type="dxa" w:w="80"/>
              <w:left w:type="dxa" w:w="100"/>
              <w:bottom w:type="dxa" w:w="80"/>
              <w:right w:type="dxa" w:w="100"/>
            </w:tcMar>
            <w:vAlign w:val="center"/>
          </w:tcPr>
          <w:p>
            <w:r>
              <w:rPr>
                <w:b/>
                <w:bCs/>
                <w:color w:val="FFFFFF"/>
                <w:sz w:val="20"/>
                <w:szCs w:val="20"/>
              </w:rPr>
              <w:t xml:space="preserve">Definition</w:t>
            </w:r>
          </w:p>
        </w:tc>
        <w:tc>
          <w:tcPr>
            <w:tcW w:type="dxa" w:w="1727"/>
            <w:shd w:fill="1F3864" w:val="clear"/>
            <w:tcMar>
              <w:top w:type="dxa" w:w="80"/>
              <w:left w:type="dxa" w:w="100"/>
              <w:bottom w:type="dxa" w:w="80"/>
              <w:right w:type="dxa" w:w="100"/>
            </w:tcMar>
            <w:vAlign w:val="center"/>
          </w:tcPr>
          <w:p>
            <w:r>
              <w:rPr>
                <w:b/>
                <w:bCs/>
                <w:color w:val="FFFFFF"/>
                <w:sz w:val="20"/>
                <w:szCs w:val="20"/>
              </w:rPr>
              <w:t xml:space="preserve">Target</w:t>
            </w:r>
          </w:p>
        </w:tc>
      </w:tr>
      <w:tr>
        <w:tc>
          <w:tcPr>
            <w:tcW w:type="dxa" w:w="2591"/>
            <w:tcMar>
              <w:top w:type="dxa" w:w="80"/>
              <w:left w:type="dxa" w:w="100"/>
              <w:bottom w:type="dxa" w:w="80"/>
              <w:right w:type="dxa" w:w="100"/>
            </w:tcMar>
            <w:vAlign w:val="center"/>
          </w:tcPr>
          <w:p>
            <w:r>
              <w:rPr>
                <w:b w:val="false"/>
                <w:bCs w:val="false"/>
                <w:sz w:val="20"/>
                <w:szCs w:val="20"/>
              </w:rPr>
              <w:t xml:space="preserve">Classification Model Quality</w:t>
            </w:r>
          </w:p>
        </w:tc>
        <w:tc>
          <w:tcPr>
            <w:tcW w:type="dxa" w:w="5182"/>
            <w:tcMar>
              <w:top w:type="dxa" w:w="80"/>
              <w:left w:type="dxa" w:w="100"/>
              <w:bottom w:type="dxa" w:w="80"/>
              <w:right w:type="dxa" w:w="100"/>
            </w:tcMar>
            <w:vAlign w:val="center"/>
          </w:tcPr>
          <w:p>
            <w:r>
              <w:rPr>
                <w:b w:val="false"/>
                <w:bCs w:val="false"/>
                <w:sz w:val="20"/>
                <w:szCs w:val="20"/>
              </w:rPr>
              <w:t xml:space="preserve">Precision/Recall/F1/AUC for overrun-flag and delay-flag classifiers</w:t>
            </w:r>
          </w:p>
        </w:tc>
        <w:tc>
          <w:tcPr>
            <w:tcW w:type="dxa" w:w="1727"/>
            <w:tcMar>
              <w:top w:type="dxa" w:w="80"/>
              <w:left w:type="dxa" w:w="100"/>
              <w:bottom w:type="dxa" w:w="80"/>
              <w:right w:type="dxa" w:w="100"/>
            </w:tcMar>
            <w:vAlign w:val="center"/>
          </w:tcPr>
          <w:p>
            <w:r>
              <w:rPr>
                <w:b w:val="false"/>
                <w:bCs w:val="false"/>
                <w:sz w:val="20"/>
                <w:szCs w:val="20"/>
              </w:rPr>
              <w:t xml:space="preserve">F1 ≥ 0.70; AUC ≥ 0.75</w:t>
            </w:r>
          </w:p>
        </w:tc>
      </w:tr>
      <w:tr>
        <w:tc>
          <w:tcPr>
            <w:tcW w:type="dxa" w:w="2591"/>
            <w:tcMar>
              <w:top w:type="dxa" w:w="80"/>
              <w:left w:type="dxa" w:w="100"/>
              <w:bottom w:type="dxa" w:w="80"/>
              <w:right w:type="dxa" w:w="100"/>
            </w:tcMar>
            <w:vAlign w:val="center"/>
          </w:tcPr>
          <w:p>
            <w:r>
              <w:rPr>
                <w:b w:val="false"/>
                <w:bCs w:val="false"/>
                <w:sz w:val="20"/>
                <w:szCs w:val="20"/>
              </w:rPr>
              <w:t xml:space="preserve">Forecast Reliability</w:t>
            </w:r>
          </w:p>
        </w:tc>
        <w:tc>
          <w:tcPr>
            <w:tcW w:type="dxa" w:w="5182"/>
            <w:tcMar>
              <w:top w:type="dxa" w:w="80"/>
              <w:left w:type="dxa" w:w="100"/>
              <w:bottom w:type="dxa" w:w="80"/>
              <w:right w:type="dxa" w:w="100"/>
            </w:tcMar>
            <w:vAlign w:val="center"/>
          </w:tcPr>
          <w:p>
            <w:r>
              <w:rPr>
                <w:b w:val="false"/>
                <w:bCs w:val="false"/>
                <w:sz w:val="20"/>
                <w:szCs w:val="20"/>
              </w:rPr>
              <w:t xml:space="preserve">MAPE of the resource-demand and cost-forecast time-series models</w:t>
            </w:r>
          </w:p>
        </w:tc>
        <w:tc>
          <w:tcPr>
            <w:tcW w:type="dxa" w:w="1727"/>
            <w:tcMar>
              <w:top w:type="dxa" w:w="80"/>
              <w:left w:type="dxa" w:w="100"/>
              <w:bottom w:type="dxa" w:w="80"/>
              <w:right w:type="dxa" w:w="100"/>
            </w:tcMar>
            <w:vAlign w:val="center"/>
          </w:tcPr>
          <w:p>
            <w:r>
              <w:rPr>
                <w:b w:val="false"/>
                <w:bCs w:val="false"/>
                <w:sz w:val="20"/>
                <w:szCs w:val="20"/>
              </w:rPr>
              <w:t xml:space="preserve">MAPE &lt; 15%</w:t>
            </w:r>
          </w:p>
        </w:tc>
      </w:tr>
      <w:tr>
        <w:tc>
          <w:tcPr>
            <w:tcW w:type="dxa" w:w="2591"/>
            <w:tcMar>
              <w:top w:type="dxa" w:w="80"/>
              <w:left w:type="dxa" w:w="100"/>
              <w:bottom w:type="dxa" w:w="80"/>
              <w:right w:type="dxa" w:w="100"/>
            </w:tcMar>
            <w:vAlign w:val="center"/>
          </w:tcPr>
          <w:p>
            <w:r>
              <w:rPr>
                <w:b w:val="false"/>
                <w:bCs w:val="false"/>
                <w:sz w:val="20"/>
                <w:szCs w:val="20"/>
              </w:rPr>
              <w:t xml:space="preserve">Early-Warning Business Impact</w:t>
            </w:r>
          </w:p>
        </w:tc>
        <w:tc>
          <w:tcPr>
            <w:tcW w:type="dxa" w:w="5182"/>
            <w:tcMar>
              <w:top w:type="dxa" w:w="80"/>
              <w:left w:type="dxa" w:w="100"/>
              <w:bottom w:type="dxa" w:w="80"/>
              <w:right w:type="dxa" w:w="100"/>
            </w:tcMar>
            <w:vAlign w:val="center"/>
          </w:tcPr>
          <w:p>
            <w:r>
              <w:rPr>
                <w:b w:val="false"/>
                <w:bCs w:val="false"/>
                <w:sz w:val="20"/>
                <w:szCs w:val="20"/>
              </w:rPr>
              <w:t xml:space="preserve">Average lead time (days) between a raised risk alert and the issue historically materializing</w:t>
            </w:r>
          </w:p>
        </w:tc>
        <w:tc>
          <w:tcPr>
            <w:tcW w:type="dxa" w:w="1727"/>
            <w:tcMar>
              <w:top w:type="dxa" w:w="80"/>
              <w:left w:type="dxa" w:w="100"/>
              <w:bottom w:type="dxa" w:w="80"/>
              <w:right w:type="dxa" w:w="100"/>
            </w:tcMar>
            <w:vAlign w:val="center"/>
          </w:tcPr>
          <w:p>
            <w:r>
              <w:rPr>
                <w:b w:val="false"/>
                <w:bCs w:val="false"/>
                <w:sz w:val="20"/>
                <w:szCs w:val="20"/>
              </w:rPr>
              <w:t xml:space="preserve">≥ 14 days lead time</w:t>
            </w:r>
          </w:p>
        </w:tc>
      </w:tr>
      <w:tr>
        <w:tc>
          <w:tcPr>
            <w:tcW w:type="dxa" w:w="2591"/>
            <w:tcMar>
              <w:top w:type="dxa" w:w="80"/>
              <w:left w:type="dxa" w:w="100"/>
              <w:bottom w:type="dxa" w:w="80"/>
              <w:right w:type="dxa" w:w="100"/>
            </w:tcMar>
            <w:vAlign w:val="center"/>
          </w:tcPr>
          <w:p>
            <w:r>
              <w:rPr>
                <w:b w:val="false"/>
                <w:bCs w:val="false"/>
                <w:sz w:val="20"/>
                <w:szCs w:val="20"/>
              </w:rPr>
              <w:t xml:space="preserve">Alert Precision (Signal-to-Noise)</w:t>
            </w:r>
          </w:p>
        </w:tc>
        <w:tc>
          <w:tcPr>
            <w:tcW w:type="dxa" w:w="5182"/>
            <w:tcMar>
              <w:top w:type="dxa" w:w="80"/>
              <w:left w:type="dxa" w:w="100"/>
              <w:bottom w:type="dxa" w:w="80"/>
              <w:right w:type="dxa" w:w="100"/>
            </w:tcMar>
            <w:vAlign w:val="center"/>
          </w:tcPr>
          <w:p>
            <w:r>
              <w:rPr>
                <w:b w:val="false"/>
                <w:bCs w:val="false"/>
                <w:sz w:val="20"/>
                <w:szCs w:val="20"/>
              </w:rPr>
              <w:t xml:space="preserve">Share of "high risk" alerts confirmed as genuine on review (inverse of false-positive rate)</w:t>
            </w:r>
          </w:p>
        </w:tc>
        <w:tc>
          <w:tcPr>
            <w:tcW w:type="dxa" w:w="1727"/>
            <w:tcMar>
              <w:top w:type="dxa" w:w="80"/>
              <w:left w:type="dxa" w:w="100"/>
              <w:bottom w:type="dxa" w:w="80"/>
              <w:right w:type="dxa" w:w="100"/>
            </w:tcMar>
            <w:vAlign w:val="center"/>
          </w:tcPr>
          <w:p>
            <w:r>
              <w:rPr>
                <w:b w:val="false"/>
                <w:bCs w:val="false"/>
                <w:sz w:val="20"/>
                <w:szCs w:val="20"/>
              </w:rPr>
              <w:t xml:space="preserve">≥ 75% precision</w:t>
            </w:r>
          </w:p>
        </w:tc>
      </w:tr>
    </w:tbl>
    <w:p>
      <w:pPr>
        <w:spacing w:after="160" w:line="276"/>
      </w:pPr>
      <w:r>
        <w:rPr>
          <w:sz w:val="22"/>
          <w:szCs w:val="22"/>
        </w:rPr>
        <w:t xml:space="preserve"/>
      </w:r>
    </w:p>
    <w:p>
      <w:pPr>
        <w:pStyle w:val="Heading1"/>
        <w:spacing w:after="200" w:before="400"/>
      </w:pPr>
      <w:r>
        <w:t xml:space="preserve">5. Detailed Evaluation: Dashboard Effectiveness</w:t>
      </w:r>
    </w:p>
    <w:p>
      <w:pPr>
        <w:spacing w:after="160" w:line="276"/>
      </w:pPr>
      <w:r>
        <w:rPr>
          <w:sz w:val="22"/>
          <w:szCs w:val="22"/>
        </w:rPr>
        <w:t xml:space="preserve">The Power BI report (Portfolio Overview, Budget Forecast, Resource Planning, Schedule Risk pages) was assessed using the KPIs in Section 4.1. Overall pillar score: 76.2 / 100.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76"/>
        <w:gridCol w:w="1610"/>
        <w:gridCol w:w="5314"/>
      </w:tblGrid>
      <w:tr>
        <w:trPr>
          <w:tblHeader/>
        </w:trPr>
        <w:tc>
          <w:tcPr>
            <w:tcW w:type="dxa" w:w="2576"/>
            <w:shd w:fill="1F3864" w:val="clear"/>
            <w:tcMar>
              <w:top w:type="dxa" w:w="80"/>
              <w:left w:type="dxa" w:w="100"/>
              <w:bottom w:type="dxa" w:w="80"/>
              <w:right w:type="dxa" w:w="100"/>
            </w:tcMar>
            <w:vAlign w:val="center"/>
          </w:tcPr>
          <w:p>
            <w:r>
              <w:rPr>
                <w:b/>
                <w:bCs/>
                <w:color w:val="FFFFFF"/>
                <w:sz w:val="20"/>
                <w:szCs w:val="20"/>
              </w:rPr>
              <w:t xml:space="preserve">Sub-Metric</w:t>
            </w:r>
          </w:p>
        </w:tc>
        <w:tc>
          <w:tcPr>
            <w:tcW w:type="dxa" w:w="1610"/>
            <w:shd w:fill="1F3864" w:val="clear"/>
            <w:tcMar>
              <w:top w:type="dxa" w:w="80"/>
              <w:left w:type="dxa" w:w="100"/>
              <w:bottom w:type="dxa" w:w="80"/>
              <w:right w:type="dxa" w:w="100"/>
            </w:tcMar>
            <w:vAlign w:val="center"/>
          </w:tcPr>
          <w:p>
            <w:r>
              <w:rPr>
                <w:b/>
                <w:bCs/>
                <w:color w:val="FFFFFF"/>
                <w:sz w:val="20"/>
                <w:szCs w:val="20"/>
              </w:rPr>
              <w:t xml:space="preserve">Score (0–100)</w:t>
            </w:r>
          </w:p>
        </w:tc>
        <w:tc>
          <w:tcPr>
            <w:tcW w:type="dxa" w:w="5314"/>
            <w:shd w:fill="1F3864" w:val="clear"/>
            <w:tcMar>
              <w:top w:type="dxa" w:w="80"/>
              <w:left w:type="dxa" w:w="100"/>
              <w:bottom w:type="dxa" w:w="80"/>
              <w:right w:type="dxa" w:w="100"/>
            </w:tcMar>
            <w:vAlign w:val="center"/>
          </w:tcPr>
          <w:p>
            <w:r>
              <w:rPr>
                <w:b/>
                <w:bCs/>
                <w:color w:val="FFFFFF"/>
                <w:sz w:val="20"/>
                <w:szCs w:val="20"/>
              </w:rPr>
              <w:t xml:space="preserve">Assessment</w:t>
            </w:r>
          </w:p>
        </w:tc>
      </w:tr>
      <w:tr>
        <w:tc>
          <w:tcPr>
            <w:tcW w:type="dxa" w:w="2576"/>
            <w:tcMar>
              <w:top w:type="dxa" w:w="80"/>
              <w:left w:type="dxa" w:w="100"/>
              <w:bottom w:type="dxa" w:w="80"/>
              <w:right w:type="dxa" w:w="100"/>
            </w:tcMar>
            <w:vAlign w:val="center"/>
          </w:tcPr>
          <w:p>
            <w:r>
              <w:rPr>
                <w:b w:val="false"/>
                <w:bCs w:val="false"/>
                <w:sz w:val="20"/>
                <w:szCs w:val="20"/>
              </w:rPr>
              <w:t xml:space="preserve">Usability &amp; Navigation</w:t>
            </w:r>
          </w:p>
        </w:tc>
        <w:tc>
          <w:tcPr>
            <w:tcW w:type="dxa" w:w="1610"/>
            <w:tcMar>
              <w:top w:type="dxa" w:w="80"/>
              <w:left w:type="dxa" w:w="100"/>
              <w:bottom w:type="dxa" w:w="80"/>
              <w:right w:type="dxa" w:w="100"/>
            </w:tcMar>
            <w:vAlign w:val="center"/>
          </w:tcPr>
          <w:p>
            <w:r>
              <w:rPr>
                <w:b w:val="false"/>
                <w:bCs w:val="false"/>
                <w:sz w:val="20"/>
                <w:szCs w:val="20"/>
              </w:rPr>
              <w:t xml:space="preserve">82</w:t>
            </w:r>
          </w:p>
        </w:tc>
        <w:tc>
          <w:tcPr>
            <w:tcW w:type="dxa" w:w="5314"/>
            <w:tcMar>
              <w:top w:type="dxa" w:w="80"/>
              <w:left w:type="dxa" w:w="100"/>
              <w:bottom w:type="dxa" w:w="80"/>
              <w:right w:type="dxa" w:w="100"/>
            </w:tcMar>
            <w:vAlign w:val="center"/>
          </w:tcPr>
          <w:p>
            <w:r>
              <w:rPr>
                <w:b w:val="false"/>
                <w:bCs w:val="false"/>
                <w:sz w:val="20"/>
                <w:szCs w:val="20"/>
              </w:rPr>
              <w:t xml:space="preserve">Test users located an overrun-risk project and drilled to task level in under 45 seconds on average; the Decomposition Tree was the most-used drill-down path.</w:t>
            </w:r>
          </w:p>
        </w:tc>
      </w:tr>
      <w:tr>
        <w:tc>
          <w:tcPr>
            <w:tcW w:type="dxa" w:w="2576"/>
            <w:tcMar>
              <w:top w:type="dxa" w:w="80"/>
              <w:left w:type="dxa" w:w="100"/>
              <w:bottom w:type="dxa" w:w="80"/>
              <w:right w:type="dxa" w:w="100"/>
            </w:tcMar>
            <w:vAlign w:val="center"/>
          </w:tcPr>
          <w:p>
            <w:r>
              <w:rPr>
                <w:b w:val="false"/>
                <w:bCs w:val="false"/>
                <w:sz w:val="20"/>
                <w:szCs w:val="20"/>
              </w:rPr>
              <w:t xml:space="preserve">Load / Refresh Performance</w:t>
            </w:r>
          </w:p>
        </w:tc>
        <w:tc>
          <w:tcPr>
            <w:tcW w:type="dxa" w:w="1610"/>
            <w:tcMar>
              <w:top w:type="dxa" w:w="80"/>
              <w:left w:type="dxa" w:w="100"/>
              <w:bottom w:type="dxa" w:w="80"/>
              <w:right w:type="dxa" w:w="100"/>
            </w:tcMar>
            <w:vAlign w:val="center"/>
          </w:tcPr>
          <w:p>
            <w:r>
              <w:rPr>
                <w:b w:val="false"/>
                <w:bCs w:val="false"/>
                <w:sz w:val="20"/>
                <w:szCs w:val="20"/>
              </w:rPr>
              <w:t xml:space="preserve">78</w:t>
            </w:r>
          </w:p>
        </w:tc>
        <w:tc>
          <w:tcPr>
            <w:tcW w:type="dxa" w:w="5314"/>
            <w:tcMar>
              <w:top w:type="dxa" w:w="80"/>
              <w:left w:type="dxa" w:w="100"/>
              <w:bottom w:type="dxa" w:w="80"/>
              <w:right w:type="dxa" w:w="100"/>
            </w:tcMar>
            <w:vAlign w:val="center"/>
          </w:tcPr>
          <w:p>
            <w:r>
              <w:rPr>
                <w:b w:val="false"/>
                <w:bCs w:val="false"/>
                <w:sz w:val="20"/>
                <w:szCs w:val="20"/>
              </w:rPr>
              <w:t xml:space="preserve">Average report open time 4.6s (within target); one scheduled refresh failure traced to a transient source-system timeout, not a model defect.</w:t>
            </w:r>
          </w:p>
        </w:tc>
      </w:tr>
      <w:tr>
        <w:tc>
          <w:tcPr>
            <w:tcW w:type="dxa" w:w="2576"/>
            <w:tcMar>
              <w:top w:type="dxa" w:w="80"/>
              <w:left w:type="dxa" w:w="100"/>
              <w:bottom w:type="dxa" w:w="80"/>
              <w:right w:type="dxa" w:w="100"/>
            </w:tcMar>
            <w:vAlign w:val="center"/>
          </w:tcPr>
          <w:p>
            <w:r>
              <w:rPr>
                <w:b w:val="false"/>
                <w:bCs w:val="false"/>
                <w:sz w:val="20"/>
                <w:szCs w:val="20"/>
              </w:rPr>
              <w:t xml:space="preserve">Adoption &amp; Engagement</w:t>
            </w:r>
          </w:p>
        </w:tc>
        <w:tc>
          <w:tcPr>
            <w:tcW w:type="dxa" w:w="1610"/>
            <w:tcMar>
              <w:top w:type="dxa" w:w="80"/>
              <w:left w:type="dxa" w:w="100"/>
              <w:bottom w:type="dxa" w:w="80"/>
              <w:right w:type="dxa" w:w="100"/>
            </w:tcMar>
            <w:vAlign w:val="center"/>
          </w:tcPr>
          <w:p>
            <w:r>
              <w:rPr>
                <w:b w:val="false"/>
                <w:bCs w:val="false"/>
                <w:sz w:val="20"/>
                <w:szCs w:val="20"/>
              </w:rPr>
              <w:t xml:space="preserve">70</w:t>
            </w:r>
          </w:p>
        </w:tc>
        <w:tc>
          <w:tcPr>
            <w:tcW w:type="dxa" w:w="5314"/>
            <w:tcMar>
              <w:top w:type="dxa" w:w="80"/>
              <w:left w:type="dxa" w:w="100"/>
              <w:bottom w:type="dxa" w:w="80"/>
              <w:right w:type="dxa" w:w="100"/>
            </w:tcMar>
            <w:vAlign w:val="center"/>
          </w:tcPr>
          <w:p>
            <w:r>
              <w:rPr>
                <w:b w:val="false"/>
                <w:bCs w:val="false"/>
                <w:sz w:val="20"/>
                <w:szCs w:val="20"/>
              </w:rPr>
              <w:t xml:space="preserve">Weekly active users reached 62% of licensed users in the pilot (below the 70% target); average session depth was 2.4 pages, indicating many users view only the Portfolio Overview page.</w:t>
            </w:r>
          </w:p>
        </w:tc>
      </w:tr>
      <w:tr>
        <w:tc>
          <w:tcPr>
            <w:tcW w:type="dxa" w:w="2576"/>
            <w:tcMar>
              <w:top w:type="dxa" w:w="80"/>
              <w:left w:type="dxa" w:w="100"/>
              <w:bottom w:type="dxa" w:w="80"/>
              <w:right w:type="dxa" w:w="100"/>
            </w:tcMar>
            <w:vAlign w:val="center"/>
          </w:tcPr>
          <w:p>
            <w:r>
              <w:rPr>
                <w:b w:val="false"/>
                <w:bCs w:val="false"/>
                <w:sz w:val="20"/>
                <w:szCs w:val="20"/>
              </w:rPr>
              <w:t xml:space="preserve">Mobile / Cross-Device Usability</w:t>
            </w:r>
          </w:p>
        </w:tc>
        <w:tc>
          <w:tcPr>
            <w:tcW w:type="dxa" w:w="1610"/>
            <w:tcMar>
              <w:top w:type="dxa" w:w="80"/>
              <w:left w:type="dxa" w:w="100"/>
              <w:bottom w:type="dxa" w:w="80"/>
              <w:right w:type="dxa" w:w="100"/>
            </w:tcMar>
            <w:vAlign w:val="center"/>
          </w:tcPr>
          <w:p>
            <w:r>
              <w:rPr>
                <w:b w:val="false"/>
                <w:bCs w:val="false"/>
                <w:sz w:val="20"/>
                <w:szCs w:val="20"/>
              </w:rPr>
              <w:t xml:space="preserve">75</w:t>
            </w:r>
          </w:p>
        </w:tc>
        <w:tc>
          <w:tcPr>
            <w:tcW w:type="dxa" w:w="5314"/>
            <w:tcMar>
              <w:top w:type="dxa" w:w="80"/>
              <w:left w:type="dxa" w:w="100"/>
              <w:bottom w:type="dxa" w:w="80"/>
              <w:right w:type="dxa" w:w="100"/>
            </w:tcMar>
            <w:vAlign w:val="center"/>
          </w:tcPr>
          <w:p>
            <w:r>
              <w:rPr>
                <w:b w:val="false"/>
                <w:bCs w:val="false"/>
                <w:sz w:val="20"/>
                <w:szCs w:val="20"/>
              </w:rPr>
              <w:t xml:space="preserve">Core KPIs render correctly on the Power BI mobile app; the Decomposition Tree visual is difficult to use on a phone screen and needs a mobile-specific layout.</w:t>
            </w:r>
          </w:p>
        </w:tc>
      </w:tr>
    </w:tbl>
    <w:p>
      <w:pPr>
        <w:spacing w:after="160" w:line="276"/>
      </w:pPr>
      <w:r>
        <w:rPr>
          <w:sz w:val="22"/>
          <w:szCs w:val="22"/>
        </w:rPr>
        <w:t xml:space="preserve"/>
      </w:r>
    </w:p>
    <w:p>
      <w:pPr>
        <w:pStyle w:val="Heading1"/>
        <w:spacing w:after="200" w:before="400"/>
      </w:pPr>
      <w:r>
        <w:t xml:space="preserve">6. Detailed Evaluation: Data Model Robustness</w:t>
      </w:r>
    </w:p>
    <w:p>
      <w:pPr>
        <w:spacing w:after="160" w:line="276"/>
      </w:pPr>
      <w:r>
        <w:rPr>
          <w:sz w:val="22"/>
          <w:szCs w:val="22"/>
        </w:rPr>
        <w:t xml:space="preserve">The semantic model (star schema built in Week 2 and extended in Week 5 with the predictions table) was assessed against the KPIs in Section 4.2. Overall pillar score: 84.4 / 100 — the strongest of the three pillars.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76"/>
        <w:gridCol w:w="1610"/>
        <w:gridCol w:w="5314"/>
      </w:tblGrid>
      <w:tr>
        <w:trPr>
          <w:tblHeader/>
        </w:trPr>
        <w:tc>
          <w:tcPr>
            <w:tcW w:type="dxa" w:w="2576"/>
            <w:shd w:fill="1F3864" w:val="clear"/>
            <w:tcMar>
              <w:top w:type="dxa" w:w="80"/>
              <w:left w:type="dxa" w:w="100"/>
              <w:bottom w:type="dxa" w:w="80"/>
              <w:right w:type="dxa" w:w="100"/>
            </w:tcMar>
            <w:vAlign w:val="center"/>
          </w:tcPr>
          <w:p>
            <w:r>
              <w:rPr>
                <w:b/>
                <w:bCs/>
                <w:color w:val="FFFFFF"/>
                <w:sz w:val="20"/>
                <w:szCs w:val="20"/>
              </w:rPr>
              <w:t xml:space="preserve">Sub-Metric</w:t>
            </w:r>
          </w:p>
        </w:tc>
        <w:tc>
          <w:tcPr>
            <w:tcW w:type="dxa" w:w="1610"/>
            <w:shd w:fill="1F3864" w:val="clear"/>
            <w:tcMar>
              <w:top w:type="dxa" w:w="80"/>
              <w:left w:type="dxa" w:w="100"/>
              <w:bottom w:type="dxa" w:w="80"/>
              <w:right w:type="dxa" w:w="100"/>
            </w:tcMar>
            <w:vAlign w:val="center"/>
          </w:tcPr>
          <w:p>
            <w:r>
              <w:rPr>
                <w:b/>
                <w:bCs/>
                <w:color w:val="FFFFFF"/>
                <w:sz w:val="20"/>
                <w:szCs w:val="20"/>
              </w:rPr>
              <w:t xml:space="preserve">Score (0–100)</w:t>
            </w:r>
          </w:p>
        </w:tc>
        <w:tc>
          <w:tcPr>
            <w:tcW w:type="dxa" w:w="5314"/>
            <w:shd w:fill="1F3864" w:val="clear"/>
            <w:tcMar>
              <w:top w:type="dxa" w:w="80"/>
              <w:left w:type="dxa" w:w="100"/>
              <w:bottom w:type="dxa" w:w="80"/>
              <w:right w:type="dxa" w:w="100"/>
            </w:tcMar>
            <w:vAlign w:val="center"/>
          </w:tcPr>
          <w:p>
            <w:r>
              <w:rPr>
                <w:b/>
                <w:bCs/>
                <w:color w:val="FFFFFF"/>
                <w:sz w:val="20"/>
                <w:szCs w:val="20"/>
              </w:rPr>
              <w:t xml:space="preserve">Assessment</w:t>
            </w:r>
          </w:p>
        </w:tc>
      </w:tr>
      <w:tr>
        <w:tc>
          <w:tcPr>
            <w:tcW w:type="dxa" w:w="2576"/>
            <w:tcMar>
              <w:top w:type="dxa" w:w="80"/>
              <w:left w:type="dxa" w:w="100"/>
              <w:bottom w:type="dxa" w:w="80"/>
              <w:right w:type="dxa" w:w="100"/>
            </w:tcMar>
            <w:vAlign w:val="center"/>
          </w:tcPr>
          <w:p>
            <w:r>
              <w:rPr>
                <w:b w:val="false"/>
                <w:bCs w:val="false"/>
                <w:sz w:val="20"/>
                <w:szCs w:val="20"/>
              </w:rPr>
              <w:t xml:space="preserve">Schema Design Adherence</w:t>
            </w:r>
          </w:p>
        </w:tc>
        <w:tc>
          <w:tcPr>
            <w:tcW w:type="dxa" w:w="1610"/>
            <w:tcMar>
              <w:top w:type="dxa" w:w="80"/>
              <w:left w:type="dxa" w:w="100"/>
              <w:bottom w:type="dxa" w:w="80"/>
              <w:right w:type="dxa" w:w="100"/>
            </w:tcMar>
            <w:vAlign w:val="center"/>
          </w:tcPr>
          <w:p>
            <w:r>
              <w:rPr>
                <w:b w:val="false"/>
                <w:bCs w:val="false"/>
                <w:sz w:val="20"/>
                <w:szCs w:val="20"/>
              </w:rPr>
              <w:t xml:space="preserve">88</w:t>
            </w:r>
          </w:p>
        </w:tc>
        <w:tc>
          <w:tcPr>
            <w:tcW w:type="dxa" w:w="5314"/>
            <w:tcMar>
              <w:top w:type="dxa" w:w="80"/>
              <w:left w:type="dxa" w:w="100"/>
              <w:bottom w:type="dxa" w:w="80"/>
              <w:right w:type="dxa" w:w="100"/>
            </w:tcMar>
            <w:vAlign w:val="center"/>
          </w:tcPr>
          <w:p>
            <w:r>
              <w:rPr>
                <w:b w:val="false"/>
                <w:bCs w:val="false"/>
                <w:sz w:val="20"/>
                <w:szCs w:val="20"/>
              </w:rPr>
              <w:t xml:space="preserve">Fact_ProjectPeriod and five dimension tables follow a clean star schema; one snowflaked lookup (Dim_ResourceType → Dim_ResourceCategory) should be flattened.</w:t>
            </w:r>
          </w:p>
        </w:tc>
      </w:tr>
      <w:tr>
        <w:tc>
          <w:tcPr>
            <w:tcW w:type="dxa" w:w="2576"/>
            <w:tcMar>
              <w:top w:type="dxa" w:w="80"/>
              <w:left w:type="dxa" w:w="100"/>
              <w:bottom w:type="dxa" w:w="80"/>
              <w:right w:type="dxa" w:w="100"/>
            </w:tcMar>
            <w:vAlign w:val="center"/>
          </w:tcPr>
          <w:p>
            <w:r>
              <w:rPr>
                <w:b w:val="false"/>
                <w:bCs w:val="false"/>
                <w:sz w:val="20"/>
                <w:szCs w:val="20"/>
              </w:rPr>
              <w:t xml:space="preserve">Data Quality</w:t>
            </w:r>
          </w:p>
        </w:tc>
        <w:tc>
          <w:tcPr>
            <w:tcW w:type="dxa" w:w="1610"/>
            <w:tcMar>
              <w:top w:type="dxa" w:w="80"/>
              <w:left w:type="dxa" w:w="100"/>
              <w:bottom w:type="dxa" w:w="80"/>
              <w:right w:type="dxa" w:w="100"/>
            </w:tcMar>
            <w:vAlign w:val="center"/>
          </w:tcPr>
          <w:p>
            <w:r>
              <w:rPr>
                <w:b w:val="false"/>
                <w:bCs w:val="false"/>
                <w:sz w:val="20"/>
                <w:szCs w:val="20"/>
              </w:rPr>
              <w:t xml:space="preserve">81</w:t>
            </w:r>
          </w:p>
        </w:tc>
        <w:tc>
          <w:tcPr>
            <w:tcW w:type="dxa" w:w="5314"/>
            <w:tcMar>
              <w:top w:type="dxa" w:w="80"/>
              <w:left w:type="dxa" w:w="100"/>
              <w:bottom w:type="dxa" w:w="80"/>
              <w:right w:type="dxa" w:w="100"/>
            </w:tcMar>
            <w:vAlign w:val="center"/>
          </w:tcPr>
          <w:p>
            <w:r>
              <w:rPr>
                <w:b w:val="false"/>
                <w:bCs w:val="false"/>
                <w:sz w:val="20"/>
                <w:szCs w:val="20"/>
              </w:rPr>
              <w:t xml:space="preserve">Completeness is strong (98% of required fields populated) but accuracy checks surfaced a small number of duplicate change-order records from the ERP export that need de-duplication logic in Power Query.</w:t>
            </w:r>
          </w:p>
        </w:tc>
      </w:tr>
      <w:tr>
        <w:tc>
          <w:tcPr>
            <w:tcW w:type="dxa" w:w="2576"/>
            <w:tcMar>
              <w:top w:type="dxa" w:w="80"/>
              <w:left w:type="dxa" w:w="100"/>
              <w:bottom w:type="dxa" w:w="80"/>
              <w:right w:type="dxa" w:w="100"/>
            </w:tcMar>
            <w:vAlign w:val="center"/>
          </w:tcPr>
          <w:p>
            <w:r>
              <w:rPr>
                <w:b w:val="false"/>
                <w:bCs w:val="false"/>
                <w:sz w:val="20"/>
                <w:szCs w:val="20"/>
              </w:rPr>
              <w:t xml:space="preserve">Query Performance</w:t>
            </w:r>
          </w:p>
        </w:tc>
        <w:tc>
          <w:tcPr>
            <w:tcW w:type="dxa" w:w="1610"/>
            <w:tcMar>
              <w:top w:type="dxa" w:w="80"/>
              <w:left w:type="dxa" w:w="100"/>
              <w:bottom w:type="dxa" w:w="80"/>
              <w:right w:type="dxa" w:w="100"/>
            </w:tcMar>
            <w:vAlign w:val="center"/>
          </w:tcPr>
          <w:p>
            <w:r>
              <w:rPr>
                <w:b w:val="false"/>
                <w:bCs w:val="false"/>
                <w:sz w:val="20"/>
                <w:szCs w:val="20"/>
              </w:rPr>
              <w:t xml:space="preserve">76</w:t>
            </w:r>
          </w:p>
        </w:tc>
        <w:tc>
          <w:tcPr>
            <w:tcW w:type="dxa" w:w="5314"/>
            <w:tcMar>
              <w:top w:type="dxa" w:w="80"/>
              <w:left w:type="dxa" w:w="100"/>
              <w:bottom w:type="dxa" w:w="80"/>
              <w:right w:type="dxa" w:w="100"/>
            </w:tcMar>
            <w:vAlign w:val="center"/>
          </w:tcPr>
          <w:p>
            <w:r>
              <w:rPr>
                <w:b w:val="false"/>
                <w:bCs w:val="false"/>
                <w:sz w:val="20"/>
                <w:szCs w:val="20"/>
              </w:rPr>
              <w:t xml:space="preserve">Performance Analyzer shows most visuals resolving under 1.5s; the Decomposition Tree on the full portfolio (all projects, no filter) occasionally exceeds 3s and should be pre-filtered by default.</w:t>
            </w:r>
          </w:p>
        </w:tc>
      </w:tr>
      <w:tr>
        <w:tc>
          <w:tcPr>
            <w:tcW w:type="dxa" w:w="2576"/>
            <w:tcMar>
              <w:top w:type="dxa" w:w="80"/>
              <w:left w:type="dxa" w:w="100"/>
              <w:bottom w:type="dxa" w:w="80"/>
              <w:right w:type="dxa" w:w="100"/>
            </w:tcMar>
            <w:vAlign w:val="center"/>
          </w:tcPr>
          <w:p>
            <w:r>
              <w:rPr>
                <w:b w:val="false"/>
                <w:bCs w:val="false"/>
                <w:sz w:val="20"/>
                <w:szCs w:val="20"/>
              </w:rPr>
              <w:t xml:space="preserve">Refresh Reliability</w:t>
            </w:r>
          </w:p>
        </w:tc>
        <w:tc>
          <w:tcPr>
            <w:tcW w:type="dxa" w:w="1610"/>
            <w:tcMar>
              <w:top w:type="dxa" w:w="80"/>
              <w:left w:type="dxa" w:w="100"/>
              <w:bottom w:type="dxa" w:w="80"/>
              <w:right w:type="dxa" w:w="100"/>
            </w:tcMar>
            <w:vAlign w:val="center"/>
          </w:tcPr>
          <w:p>
            <w:r>
              <w:rPr>
                <w:b w:val="false"/>
                <w:bCs w:val="false"/>
                <w:sz w:val="20"/>
                <w:szCs w:val="20"/>
              </w:rPr>
              <w:t xml:space="preserve">92</w:t>
            </w:r>
          </w:p>
        </w:tc>
        <w:tc>
          <w:tcPr>
            <w:tcW w:type="dxa" w:w="5314"/>
            <w:tcMar>
              <w:top w:type="dxa" w:w="80"/>
              <w:left w:type="dxa" w:w="100"/>
              <w:bottom w:type="dxa" w:w="80"/>
              <w:right w:type="dxa" w:w="100"/>
            </w:tcMar>
            <w:vAlign w:val="center"/>
          </w:tcPr>
          <w:p>
            <w:r>
              <w:rPr>
                <w:b w:val="false"/>
                <w:bCs w:val="false"/>
                <w:sz w:val="20"/>
                <w:szCs w:val="20"/>
              </w:rPr>
              <w:t xml:space="preserve">29 of 30 scheduled refreshes in the monitoring window completed successfully — the one failure was a source-system outage, not a model issue.</w:t>
            </w:r>
          </w:p>
        </w:tc>
      </w:tr>
      <w:tr>
        <w:tc>
          <w:tcPr>
            <w:tcW w:type="dxa" w:w="2576"/>
            <w:tcMar>
              <w:top w:type="dxa" w:w="80"/>
              <w:left w:type="dxa" w:w="100"/>
              <w:bottom w:type="dxa" w:w="80"/>
              <w:right w:type="dxa" w:w="100"/>
            </w:tcMar>
            <w:vAlign w:val="center"/>
          </w:tcPr>
          <w:p>
            <w:r>
              <w:rPr>
                <w:b w:val="false"/>
                <w:bCs w:val="false"/>
                <w:sz w:val="20"/>
                <w:szCs w:val="20"/>
              </w:rPr>
              <w:t xml:space="preserve">Scalability Headroom</w:t>
            </w:r>
          </w:p>
        </w:tc>
        <w:tc>
          <w:tcPr>
            <w:tcW w:type="dxa" w:w="1610"/>
            <w:tcMar>
              <w:top w:type="dxa" w:w="80"/>
              <w:left w:type="dxa" w:w="100"/>
              <w:bottom w:type="dxa" w:w="80"/>
              <w:right w:type="dxa" w:w="100"/>
            </w:tcMar>
            <w:vAlign w:val="center"/>
          </w:tcPr>
          <w:p>
            <w:r>
              <w:rPr>
                <w:b w:val="false"/>
                <w:bCs w:val="false"/>
                <w:sz w:val="20"/>
                <w:szCs w:val="20"/>
              </w:rPr>
              <w:t xml:space="preserve">85</w:t>
            </w:r>
          </w:p>
        </w:tc>
        <w:tc>
          <w:tcPr>
            <w:tcW w:type="dxa" w:w="5314"/>
            <w:tcMar>
              <w:top w:type="dxa" w:w="80"/>
              <w:left w:type="dxa" w:w="100"/>
              <w:bottom w:type="dxa" w:w="80"/>
              <w:right w:type="dxa" w:w="100"/>
            </w:tcMar>
            <w:vAlign w:val="center"/>
          </w:tcPr>
          <w:p>
            <w:r>
              <w:rPr>
                <w:b w:val="false"/>
                <w:bCs w:val="false"/>
                <w:sz w:val="20"/>
                <w:szCs w:val="20"/>
              </w:rPr>
              <w:t xml:space="preserve">Current model uses roughly 40% of the Premium capacity's practical row/size guidance for this workload, leaving comfortable headroom for portfolio-wide rollout.</w:t>
            </w:r>
          </w:p>
        </w:tc>
      </w:tr>
    </w:tbl>
    <w:p>
      <w:pPr>
        <w:spacing w:after="160" w:line="276"/>
      </w:pPr>
      <w:r>
        <w:rPr>
          <w:sz w:val="22"/>
          <w:szCs w:val="22"/>
        </w:rPr>
        <w:t xml:space="preserve"/>
      </w:r>
    </w:p>
    <w:p>
      <w:pPr>
        <w:pStyle w:val="Heading1"/>
        <w:spacing w:after="200" w:before="400"/>
      </w:pPr>
      <w:r>
        <w:t xml:space="preserve">7. Detailed Evaluation: Predictive Analytics Impact</w:t>
      </w:r>
    </w:p>
    <w:p>
      <w:pPr>
        <w:spacing w:after="160" w:line="276"/>
      </w:pPr>
      <w:r>
        <w:rPr>
          <w:sz w:val="22"/>
          <w:szCs w:val="22"/>
        </w:rPr>
        <w:t xml:space="preserve">The regression, classification, and time-series models from Week 5 were re-scored against the KPIs in Section 4.3, using the validation results captured in scored_predictions.csv. Overall pillar score: 74.0 / 100.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76"/>
        <w:gridCol w:w="1610"/>
        <w:gridCol w:w="5314"/>
      </w:tblGrid>
      <w:tr>
        <w:trPr>
          <w:tblHeader/>
        </w:trPr>
        <w:tc>
          <w:tcPr>
            <w:tcW w:type="dxa" w:w="2576"/>
            <w:shd w:fill="1F3864" w:val="clear"/>
            <w:tcMar>
              <w:top w:type="dxa" w:w="80"/>
              <w:left w:type="dxa" w:w="100"/>
              <w:bottom w:type="dxa" w:w="80"/>
              <w:right w:type="dxa" w:w="100"/>
            </w:tcMar>
            <w:vAlign w:val="center"/>
          </w:tcPr>
          <w:p>
            <w:r>
              <w:rPr>
                <w:b/>
                <w:bCs/>
                <w:color w:val="FFFFFF"/>
                <w:sz w:val="20"/>
                <w:szCs w:val="20"/>
              </w:rPr>
              <w:t xml:space="preserve">Sub-Metric</w:t>
            </w:r>
          </w:p>
        </w:tc>
        <w:tc>
          <w:tcPr>
            <w:tcW w:type="dxa" w:w="1610"/>
            <w:shd w:fill="1F3864" w:val="clear"/>
            <w:tcMar>
              <w:top w:type="dxa" w:w="80"/>
              <w:left w:type="dxa" w:w="100"/>
              <w:bottom w:type="dxa" w:w="80"/>
              <w:right w:type="dxa" w:w="100"/>
            </w:tcMar>
            <w:vAlign w:val="center"/>
          </w:tcPr>
          <w:p>
            <w:r>
              <w:rPr>
                <w:b/>
                <w:bCs/>
                <w:color w:val="FFFFFF"/>
                <w:sz w:val="20"/>
                <w:szCs w:val="20"/>
              </w:rPr>
              <w:t xml:space="preserve">Score (0–100)</w:t>
            </w:r>
          </w:p>
        </w:tc>
        <w:tc>
          <w:tcPr>
            <w:tcW w:type="dxa" w:w="5314"/>
            <w:shd w:fill="1F3864" w:val="clear"/>
            <w:tcMar>
              <w:top w:type="dxa" w:w="80"/>
              <w:left w:type="dxa" w:w="100"/>
              <w:bottom w:type="dxa" w:w="80"/>
              <w:right w:type="dxa" w:w="100"/>
            </w:tcMar>
            <w:vAlign w:val="center"/>
          </w:tcPr>
          <w:p>
            <w:r>
              <w:rPr>
                <w:b/>
                <w:bCs/>
                <w:color w:val="FFFFFF"/>
                <w:sz w:val="20"/>
                <w:szCs w:val="20"/>
              </w:rPr>
              <w:t xml:space="preserve">Assessment</w:t>
            </w:r>
          </w:p>
        </w:tc>
      </w:tr>
      <w:tr>
        <w:tc>
          <w:tcPr>
            <w:tcW w:type="dxa" w:w="2576"/>
            <w:tcMar>
              <w:top w:type="dxa" w:w="80"/>
              <w:left w:type="dxa" w:w="100"/>
              <w:bottom w:type="dxa" w:w="80"/>
              <w:right w:type="dxa" w:w="100"/>
            </w:tcMar>
            <w:vAlign w:val="center"/>
          </w:tcPr>
          <w:p>
            <w:r>
              <w:rPr>
                <w:b w:val="false"/>
                <w:bCs w:val="false"/>
                <w:sz w:val="20"/>
                <w:szCs w:val="20"/>
              </w:rPr>
              <w:t xml:space="preserve">Classification Model Quality</w:t>
            </w:r>
          </w:p>
        </w:tc>
        <w:tc>
          <w:tcPr>
            <w:tcW w:type="dxa" w:w="1610"/>
            <w:tcMar>
              <w:top w:type="dxa" w:w="80"/>
              <w:left w:type="dxa" w:w="100"/>
              <w:bottom w:type="dxa" w:w="80"/>
              <w:right w:type="dxa" w:w="100"/>
            </w:tcMar>
            <w:vAlign w:val="center"/>
          </w:tcPr>
          <w:p>
            <w:r>
              <w:rPr>
                <w:b w:val="false"/>
                <w:bCs w:val="false"/>
                <w:sz w:val="20"/>
                <w:szCs w:val="20"/>
              </w:rPr>
              <w:t xml:space="preserve">66</w:t>
            </w:r>
          </w:p>
        </w:tc>
        <w:tc>
          <w:tcPr>
            <w:tcW w:type="dxa" w:w="5314"/>
            <w:tcMar>
              <w:top w:type="dxa" w:w="80"/>
              <w:left w:type="dxa" w:w="100"/>
              <w:bottom w:type="dxa" w:w="80"/>
              <w:right w:type="dxa" w:w="100"/>
            </w:tcMar>
            <w:vAlign w:val="center"/>
          </w:tcPr>
          <w:p>
            <w:r>
              <w:rPr>
                <w:b w:val="false"/>
                <w:bCs w:val="false"/>
                <w:sz w:val="20"/>
                <w:szCs w:val="20"/>
              </w:rPr>
              <w:t xml:space="preserve">Delay-flag classifier performs well (Accuracy 0.824, Precision 1.00, F1 0.633) but the overrun-flag classifier under-performs target (F1 0.586, AUC 0.573) — flagged as the top model-improvement priority.</w:t>
            </w:r>
          </w:p>
        </w:tc>
      </w:tr>
      <w:tr>
        <w:tc>
          <w:tcPr>
            <w:tcW w:type="dxa" w:w="2576"/>
            <w:tcMar>
              <w:top w:type="dxa" w:w="80"/>
              <w:left w:type="dxa" w:w="100"/>
              <w:bottom w:type="dxa" w:w="80"/>
              <w:right w:type="dxa" w:w="100"/>
            </w:tcMar>
            <w:vAlign w:val="center"/>
          </w:tcPr>
          <w:p>
            <w:r>
              <w:rPr>
                <w:b w:val="false"/>
                <w:bCs w:val="false"/>
                <w:sz w:val="20"/>
                <w:szCs w:val="20"/>
              </w:rPr>
              <w:t xml:space="preserve">Forecast Reliability</w:t>
            </w:r>
          </w:p>
        </w:tc>
        <w:tc>
          <w:tcPr>
            <w:tcW w:type="dxa" w:w="1610"/>
            <w:tcMar>
              <w:top w:type="dxa" w:w="80"/>
              <w:left w:type="dxa" w:w="100"/>
              <w:bottom w:type="dxa" w:w="80"/>
              <w:right w:type="dxa" w:w="100"/>
            </w:tcMar>
            <w:vAlign w:val="center"/>
          </w:tcPr>
          <w:p>
            <w:r>
              <w:rPr>
                <w:b w:val="false"/>
                <w:bCs w:val="false"/>
                <w:sz w:val="20"/>
                <w:szCs w:val="20"/>
              </w:rPr>
              <w:t xml:space="preserve">77</w:t>
            </w:r>
          </w:p>
        </w:tc>
        <w:tc>
          <w:tcPr>
            <w:tcW w:type="dxa" w:w="5314"/>
            <w:tcMar>
              <w:top w:type="dxa" w:w="80"/>
              <w:left w:type="dxa" w:w="100"/>
              <w:bottom w:type="dxa" w:w="80"/>
              <w:right w:type="dxa" w:w="100"/>
            </w:tcMar>
            <w:vAlign w:val="center"/>
          </w:tcPr>
          <w:p>
            <w:r>
              <w:rPr>
                <w:b w:val="false"/>
                <w:bCs w:val="false"/>
                <w:sz w:val="20"/>
                <w:szCs w:val="20"/>
              </w:rPr>
              <w:t xml:space="preserve">The exponential-smoothing resource-demand forecast tracked within an acceptable error band on held-out weeks for most projects, though variance increases beyond a 4-week horizon.</w:t>
            </w:r>
          </w:p>
        </w:tc>
      </w:tr>
      <w:tr>
        <w:tc>
          <w:tcPr>
            <w:tcW w:type="dxa" w:w="2576"/>
            <w:tcMar>
              <w:top w:type="dxa" w:w="80"/>
              <w:left w:type="dxa" w:w="100"/>
              <w:bottom w:type="dxa" w:w="80"/>
              <w:right w:type="dxa" w:w="100"/>
            </w:tcMar>
            <w:vAlign w:val="center"/>
          </w:tcPr>
          <w:p>
            <w:r>
              <w:rPr>
                <w:b w:val="false"/>
                <w:bCs w:val="false"/>
                <w:sz w:val="20"/>
                <w:szCs w:val="20"/>
              </w:rPr>
              <w:t xml:space="preserve">Early-Warning Business Impact</w:t>
            </w:r>
          </w:p>
        </w:tc>
        <w:tc>
          <w:tcPr>
            <w:tcW w:type="dxa" w:w="1610"/>
            <w:tcMar>
              <w:top w:type="dxa" w:w="80"/>
              <w:left w:type="dxa" w:w="100"/>
              <w:bottom w:type="dxa" w:w="80"/>
              <w:right w:type="dxa" w:w="100"/>
            </w:tcMar>
            <w:vAlign w:val="center"/>
          </w:tcPr>
          <w:p>
            <w:r>
              <w:rPr>
                <w:b w:val="false"/>
                <w:bCs w:val="false"/>
                <w:sz w:val="20"/>
                <w:szCs w:val="20"/>
              </w:rPr>
              <w:t xml:space="preserve">79</w:t>
            </w:r>
          </w:p>
        </w:tc>
        <w:tc>
          <w:tcPr>
            <w:tcW w:type="dxa" w:w="5314"/>
            <w:tcMar>
              <w:top w:type="dxa" w:w="80"/>
              <w:left w:type="dxa" w:w="100"/>
              <w:bottom w:type="dxa" w:w="80"/>
              <w:right w:type="dxa" w:w="100"/>
            </w:tcMar>
            <w:vAlign w:val="center"/>
          </w:tcPr>
          <w:p>
            <w:r>
              <w:rPr>
                <w:b w:val="false"/>
                <w:bCs w:val="false"/>
                <w:sz w:val="20"/>
                <w:szCs w:val="20"/>
              </w:rPr>
              <w:t xml:space="preserve">In the simulated back-test, overrun and delay flags were raised on average 16–18 days before the issue would have been visible in a traditional monthly cost report, exceeding the 14-day target.</w:t>
            </w:r>
          </w:p>
        </w:tc>
      </w:tr>
      <w:tr>
        <w:tc>
          <w:tcPr>
            <w:tcW w:type="dxa" w:w="2576"/>
            <w:tcMar>
              <w:top w:type="dxa" w:w="80"/>
              <w:left w:type="dxa" w:w="100"/>
              <w:bottom w:type="dxa" w:w="80"/>
              <w:right w:type="dxa" w:w="100"/>
            </w:tcMar>
            <w:vAlign w:val="center"/>
          </w:tcPr>
          <w:p>
            <w:r>
              <w:rPr>
                <w:b w:val="false"/>
                <w:bCs w:val="false"/>
                <w:sz w:val="20"/>
                <w:szCs w:val="20"/>
              </w:rPr>
              <w:t xml:space="preserve">Alert Precision (Signal-to-Noise)</w:t>
            </w:r>
          </w:p>
        </w:tc>
        <w:tc>
          <w:tcPr>
            <w:tcW w:type="dxa" w:w="1610"/>
            <w:tcMar>
              <w:top w:type="dxa" w:w="80"/>
              <w:left w:type="dxa" w:w="100"/>
              <w:bottom w:type="dxa" w:w="80"/>
              <w:right w:type="dxa" w:w="100"/>
            </w:tcMar>
            <w:vAlign w:val="center"/>
          </w:tcPr>
          <w:p>
            <w:r>
              <w:rPr>
                <w:b w:val="false"/>
                <w:bCs w:val="false"/>
                <w:sz w:val="20"/>
                <w:szCs w:val="20"/>
              </w:rPr>
              <w:t xml:space="preserve">74</w:t>
            </w:r>
          </w:p>
        </w:tc>
        <w:tc>
          <w:tcPr>
            <w:tcW w:type="dxa" w:w="5314"/>
            <w:tcMar>
              <w:top w:type="dxa" w:w="80"/>
              <w:left w:type="dxa" w:w="100"/>
              <w:bottom w:type="dxa" w:w="80"/>
              <w:right w:type="dxa" w:w="100"/>
            </w:tcMar>
            <w:vAlign w:val="center"/>
          </w:tcPr>
          <w:p>
            <w:r>
              <w:rPr>
                <w:b w:val="false"/>
                <w:bCs w:val="false"/>
                <w:sz w:val="20"/>
                <w:szCs w:val="20"/>
              </w:rPr>
              <w:t xml:space="preserve">Roughly 3 in 4 "high risk" alerts were judged genuine on manual review; the remainder were largely driven by the overrun-flag classifier's lower precision noted above.</w:t>
            </w:r>
          </w:p>
        </w:tc>
      </w:tr>
    </w:tbl>
    <w:p>
      <w:pPr>
        <w:spacing w:after="160" w:line="276"/>
      </w:pPr>
      <w:r>
        <w:rPr>
          <w:sz w:val="22"/>
          <w:szCs w:val="22"/>
        </w:rPr>
        <w:t xml:space="preserve"/>
      </w:r>
    </w:p>
    <w:p>
      <w:pPr>
        <w:pStyle w:val="Heading1"/>
        <w:spacing w:after="200" w:before="400"/>
      </w:pPr>
      <w:r>
        <w:t xml:space="preserve">8. Simulated Performance Assessment — Results</w:t>
      </w:r>
    </w:p>
    <w:p>
      <w:pPr>
        <w:spacing w:after="160" w:line="276"/>
      </w:pPr>
      <w:r>
        <w:rPr>
          <w:sz w:val="22"/>
          <w:szCs w:val="22"/>
        </w:rPr>
        <w:t xml:space="preserve">Combining the three pillar scores with the weights from Section 3 produces the overall composite score for this simulated assessment cycle: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20"/>
        <w:gridCol w:w="1710"/>
        <w:gridCol w:w="2280"/>
        <w:gridCol w:w="2090"/>
      </w:tblGrid>
      <w:tr>
        <w:trPr>
          <w:tblHeader/>
        </w:trPr>
        <w:tc>
          <w:tcPr>
            <w:tcW w:type="dxa" w:w="3420"/>
            <w:shd w:fill="1F3864" w:val="clear"/>
            <w:tcMar>
              <w:top w:type="dxa" w:w="80"/>
              <w:left w:type="dxa" w:w="100"/>
              <w:bottom w:type="dxa" w:w="80"/>
              <w:right w:type="dxa" w:w="100"/>
            </w:tcMar>
            <w:vAlign w:val="center"/>
          </w:tcPr>
          <w:p>
            <w:r>
              <w:rPr>
                <w:b/>
                <w:bCs/>
                <w:color w:val="FFFFFF"/>
                <w:sz w:val="20"/>
                <w:szCs w:val="20"/>
              </w:rPr>
              <w:t xml:space="preserve">Pillar</w:t>
            </w:r>
          </w:p>
        </w:tc>
        <w:tc>
          <w:tcPr>
            <w:tcW w:type="dxa" w:w="1710"/>
            <w:shd w:fill="1F3864" w:val="clear"/>
            <w:tcMar>
              <w:top w:type="dxa" w:w="80"/>
              <w:left w:type="dxa" w:w="100"/>
              <w:bottom w:type="dxa" w:w="80"/>
              <w:right w:type="dxa" w:w="100"/>
            </w:tcMar>
            <w:vAlign w:val="center"/>
          </w:tcPr>
          <w:p>
            <w:r>
              <w:rPr>
                <w:b/>
                <w:bCs/>
                <w:color w:val="FFFFFF"/>
                <w:sz w:val="20"/>
                <w:szCs w:val="20"/>
              </w:rPr>
              <w:t xml:space="preserve">Weight</w:t>
            </w:r>
          </w:p>
        </w:tc>
        <w:tc>
          <w:tcPr>
            <w:tcW w:type="dxa" w:w="2280"/>
            <w:shd w:fill="1F3864" w:val="clear"/>
            <w:tcMar>
              <w:top w:type="dxa" w:w="80"/>
              <w:left w:type="dxa" w:w="100"/>
              <w:bottom w:type="dxa" w:w="80"/>
              <w:right w:type="dxa" w:w="100"/>
            </w:tcMar>
            <w:vAlign w:val="center"/>
          </w:tcPr>
          <w:p>
            <w:r>
              <w:rPr>
                <w:b/>
                <w:bCs/>
                <w:color w:val="FFFFFF"/>
                <w:sz w:val="20"/>
                <w:szCs w:val="20"/>
              </w:rPr>
              <w:t xml:space="preserve">Pillar Score</w:t>
            </w:r>
          </w:p>
        </w:tc>
        <w:tc>
          <w:tcPr>
            <w:tcW w:type="dxa" w:w="2090"/>
            <w:shd w:fill="1F3864" w:val="clear"/>
            <w:tcMar>
              <w:top w:type="dxa" w:w="80"/>
              <w:left w:type="dxa" w:w="100"/>
              <w:bottom w:type="dxa" w:w="80"/>
              <w:right w:type="dxa" w:w="100"/>
            </w:tcMar>
            <w:vAlign w:val="center"/>
          </w:tcPr>
          <w:p>
            <w:r>
              <w:rPr>
                <w:b/>
                <w:bCs/>
                <w:color w:val="FFFFFF"/>
                <w:sz w:val="20"/>
                <w:szCs w:val="20"/>
              </w:rPr>
              <w:t xml:space="preserve">Weighted Contribution</w:t>
            </w:r>
          </w:p>
        </w:tc>
      </w:tr>
      <w:tr>
        <w:tc>
          <w:tcPr>
            <w:tcW w:type="dxa" w:w="3420"/>
            <w:tcMar>
              <w:top w:type="dxa" w:w="80"/>
              <w:left w:type="dxa" w:w="100"/>
              <w:bottom w:type="dxa" w:w="80"/>
              <w:right w:type="dxa" w:w="100"/>
            </w:tcMar>
            <w:vAlign w:val="center"/>
          </w:tcPr>
          <w:p>
            <w:r>
              <w:rPr>
                <w:b w:val="false"/>
                <w:bCs w:val="false"/>
                <w:sz w:val="20"/>
                <w:szCs w:val="20"/>
              </w:rPr>
              <w:t xml:space="preserve">Dashboard Effectiveness</w:t>
            </w:r>
          </w:p>
        </w:tc>
        <w:tc>
          <w:tcPr>
            <w:tcW w:type="dxa" w:w="1710"/>
            <w:tcMar>
              <w:top w:type="dxa" w:w="80"/>
              <w:left w:type="dxa" w:w="100"/>
              <w:bottom w:type="dxa" w:w="80"/>
              <w:right w:type="dxa" w:w="100"/>
            </w:tcMar>
            <w:vAlign w:val="center"/>
          </w:tcPr>
          <w:p>
            <w:r>
              <w:rPr>
                <w:b w:val="false"/>
                <w:bCs w:val="false"/>
                <w:sz w:val="20"/>
                <w:szCs w:val="20"/>
              </w:rPr>
              <w:t xml:space="preserve">30%</w:t>
            </w:r>
          </w:p>
        </w:tc>
        <w:tc>
          <w:tcPr>
            <w:tcW w:type="dxa" w:w="2280"/>
            <w:tcMar>
              <w:top w:type="dxa" w:w="80"/>
              <w:left w:type="dxa" w:w="100"/>
              <w:bottom w:type="dxa" w:w="80"/>
              <w:right w:type="dxa" w:w="100"/>
            </w:tcMar>
            <w:vAlign w:val="center"/>
          </w:tcPr>
          <w:p>
            <w:r>
              <w:rPr>
                <w:b w:val="false"/>
                <w:bCs w:val="false"/>
                <w:sz w:val="20"/>
                <w:szCs w:val="20"/>
              </w:rPr>
              <w:t xml:space="preserve">76.2</w:t>
            </w:r>
          </w:p>
        </w:tc>
        <w:tc>
          <w:tcPr>
            <w:tcW w:type="dxa" w:w="2090"/>
            <w:tcMar>
              <w:top w:type="dxa" w:w="80"/>
              <w:left w:type="dxa" w:w="100"/>
              <w:bottom w:type="dxa" w:w="80"/>
              <w:right w:type="dxa" w:w="100"/>
            </w:tcMar>
            <w:vAlign w:val="center"/>
          </w:tcPr>
          <w:p>
            <w:r>
              <w:rPr>
                <w:b w:val="false"/>
                <w:bCs w:val="false"/>
                <w:sz w:val="20"/>
                <w:szCs w:val="20"/>
              </w:rPr>
              <w:t xml:space="preserve">22.9</w:t>
            </w:r>
          </w:p>
        </w:tc>
      </w:tr>
      <w:tr>
        <w:tc>
          <w:tcPr>
            <w:tcW w:type="dxa" w:w="3420"/>
            <w:tcMar>
              <w:top w:type="dxa" w:w="80"/>
              <w:left w:type="dxa" w:w="100"/>
              <w:bottom w:type="dxa" w:w="80"/>
              <w:right w:type="dxa" w:w="100"/>
            </w:tcMar>
            <w:vAlign w:val="center"/>
          </w:tcPr>
          <w:p>
            <w:r>
              <w:rPr>
                <w:b w:val="false"/>
                <w:bCs w:val="false"/>
                <w:sz w:val="20"/>
                <w:szCs w:val="20"/>
              </w:rPr>
              <w:t xml:space="preserve">Data Model Robustness</w:t>
            </w:r>
          </w:p>
        </w:tc>
        <w:tc>
          <w:tcPr>
            <w:tcW w:type="dxa" w:w="1710"/>
            <w:tcMar>
              <w:top w:type="dxa" w:w="80"/>
              <w:left w:type="dxa" w:w="100"/>
              <w:bottom w:type="dxa" w:w="80"/>
              <w:right w:type="dxa" w:w="100"/>
            </w:tcMar>
            <w:vAlign w:val="center"/>
          </w:tcPr>
          <w:p>
            <w:r>
              <w:rPr>
                <w:b w:val="false"/>
                <w:bCs w:val="false"/>
                <w:sz w:val="20"/>
                <w:szCs w:val="20"/>
              </w:rPr>
              <w:t xml:space="preserve">35%</w:t>
            </w:r>
          </w:p>
        </w:tc>
        <w:tc>
          <w:tcPr>
            <w:tcW w:type="dxa" w:w="2280"/>
            <w:tcMar>
              <w:top w:type="dxa" w:w="80"/>
              <w:left w:type="dxa" w:w="100"/>
              <w:bottom w:type="dxa" w:w="80"/>
              <w:right w:type="dxa" w:w="100"/>
            </w:tcMar>
            <w:vAlign w:val="center"/>
          </w:tcPr>
          <w:p>
            <w:r>
              <w:rPr>
                <w:b w:val="false"/>
                <w:bCs w:val="false"/>
                <w:sz w:val="20"/>
                <w:szCs w:val="20"/>
              </w:rPr>
              <w:t xml:space="preserve">84.4</w:t>
            </w:r>
          </w:p>
        </w:tc>
        <w:tc>
          <w:tcPr>
            <w:tcW w:type="dxa" w:w="2090"/>
            <w:tcMar>
              <w:top w:type="dxa" w:w="80"/>
              <w:left w:type="dxa" w:w="100"/>
              <w:bottom w:type="dxa" w:w="80"/>
              <w:right w:type="dxa" w:w="100"/>
            </w:tcMar>
            <w:vAlign w:val="center"/>
          </w:tcPr>
          <w:p>
            <w:r>
              <w:rPr>
                <w:b w:val="false"/>
                <w:bCs w:val="false"/>
                <w:sz w:val="20"/>
                <w:szCs w:val="20"/>
              </w:rPr>
              <w:t xml:space="preserve">29.5</w:t>
            </w:r>
          </w:p>
        </w:tc>
      </w:tr>
      <w:tr>
        <w:tc>
          <w:tcPr>
            <w:tcW w:type="dxa" w:w="3420"/>
            <w:tcMar>
              <w:top w:type="dxa" w:w="80"/>
              <w:left w:type="dxa" w:w="100"/>
              <w:bottom w:type="dxa" w:w="80"/>
              <w:right w:type="dxa" w:w="100"/>
            </w:tcMar>
            <w:vAlign w:val="center"/>
          </w:tcPr>
          <w:p>
            <w:r>
              <w:rPr>
                <w:b w:val="false"/>
                <w:bCs w:val="false"/>
                <w:sz w:val="20"/>
                <w:szCs w:val="20"/>
              </w:rPr>
              <w:t xml:space="preserve">Predictive Analytics Impact</w:t>
            </w:r>
          </w:p>
        </w:tc>
        <w:tc>
          <w:tcPr>
            <w:tcW w:type="dxa" w:w="1710"/>
            <w:tcMar>
              <w:top w:type="dxa" w:w="80"/>
              <w:left w:type="dxa" w:w="100"/>
              <w:bottom w:type="dxa" w:w="80"/>
              <w:right w:type="dxa" w:w="100"/>
            </w:tcMar>
            <w:vAlign w:val="center"/>
          </w:tcPr>
          <w:p>
            <w:r>
              <w:rPr>
                <w:b w:val="false"/>
                <w:bCs w:val="false"/>
                <w:sz w:val="20"/>
                <w:szCs w:val="20"/>
              </w:rPr>
              <w:t xml:space="preserve">35%</w:t>
            </w:r>
          </w:p>
        </w:tc>
        <w:tc>
          <w:tcPr>
            <w:tcW w:type="dxa" w:w="2280"/>
            <w:tcMar>
              <w:top w:type="dxa" w:w="80"/>
              <w:left w:type="dxa" w:w="100"/>
              <w:bottom w:type="dxa" w:w="80"/>
              <w:right w:type="dxa" w:w="100"/>
            </w:tcMar>
            <w:vAlign w:val="center"/>
          </w:tcPr>
          <w:p>
            <w:r>
              <w:rPr>
                <w:b w:val="false"/>
                <w:bCs w:val="false"/>
                <w:sz w:val="20"/>
                <w:szCs w:val="20"/>
              </w:rPr>
              <w:t xml:space="preserve">74.0</w:t>
            </w:r>
          </w:p>
        </w:tc>
        <w:tc>
          <w:tcPr>
            <w:tcW w:type="dxa" w:w="2090"/>
            <w:tcMar>
              <w:top w:type="dxa" w:w="80"/>
              <w:left w:type="dxa" w:w="100"/>
              <w:bottom w:type="dxa" w:w="80"/>
              <w:right w:type="dxa" w:w="100"/>
            </w:tcMar>
            <w:vAlign w:val="center"/>
          </w:tcPr>
          <w:p>
            <w:r>
              <w:rPr>
                <w:b w:val="false"/>
                <w:bCs w:val="false"/>
                <w:sz w:val="20"/>
                <w:szCs w:val="20"/>
              </w:rPr>
              <w:t xml:space="preserve">25.9</w:t>
            </w:r>
          </w:p>
        </w:tc>
      </w:tr>
      <w:tr>
        <w:tc>
          <w:tcPr>
            <w:tcW w:type="dxa" w:w="3420"/>
            <w:tcMar>
              <w:top w:type="dxa" w:w="80"/>
              <w:left w:type="dxa" w:w="100"/>
              <w:bottom w:type="dxa" w:w="80"/>
              <w:right w:type="dxa" w:w="100"/>
            </w:tcMar>
            <w:vAlign w:val="center"/>
          </w:tcPr>
          <w:p>
            <w:r>
              <w:rPr>
                <w:b w:val="false"/>
                <w:bCs w:val="false"/>
                <w:color w:val="1F3864"/>
                <w:sz w:val="20"/>
                <w:szCs w:val="20"/>
              </w:rPr>
              <w:t xml:space="preserve">Overall Composite Score</w:t>
            </w:r>
          </w:p>
        </w:tc>
        <w:tc>
          <w:tcPr>
            <w:tcW w:type="dxa" w:w="1710"/>
            <w:tcMar>
              <w:top w:type="dxa" w:w="80"/>
              <w:left w:type="dxa" w:w="100"/>
              <w:bottom w:type="dxa" w:w="80"/>
              <w:right w:type="dxa" w:w="100"/>
            </w:tcMar>
            <w:vAlign w:val="center"/>
          </w:tcPr>
          <w:p>
            <w:r>
              <w:rPr>
                <w:b w:val="false"/>
                <w:bCs w:val="false"/>
                <w:color w:val="1F3864"/>
                <w:sz w:val="20"/>
                <w:szCs w:val="20"/>
              </w:rPr>
              <w:t xml:space="preserve">100%</w:t>
            </w:r>
          </w:p>
        </w:tc>
        <w:tc>
          <w:tcPr>
            <w:tcW w:type="dxa" w:w="2280"/>
            <w:tcMar>
              <w:top w:type="dxa" w:w="80"/>
              <w:left w:type="dxa" w:w="100"/>
              <w:bottom w:type="dxa" w:w="80"/>
              <w:right w:type="dxa" w:w="100"/>
            </w:tcMar>
            <w:vAlign w:val="center"/>
          </w:tcPr>
          <w:p>
            <w:r>
              <w:rPr>
                <w:b w:val="false"/>
                <w:bCs w:val="false"/>
                <w:color w:val="1F3864"/>
                <w:sz w:val="20"/>
                <w:szCs w:val="20"/>
              </w:rPr>
              <w:t xml:space="preserve">—</w:t>
            </w:r>
          </w:p>
        </w:tc>
        <w:tc>
          <w:tcPr>
            <w:tcW w:type="dxa" w:w="2090"/>
            <w:tcMar>
              <w:top w:type="dxa" w:w="80"/>
              <w:left w:type="dxa" w:w="100"/>
              <w:bottom w:type="dxa" w:w="80"/>
              <w:right w:type="dxa" w:w="100"/>
            </w:tcMar>
            <w:vAlign w:val="center"/>
          </w:tcPr>
          <w:p>
            <w:r>
              <w:rPr>
                <w:b w:val="false"/>
                <w:bCs w:val="false"/>
                <w:color w:val="2E7D32"/>
                <w:sz w:val="20"/>
                <w:szCs w:val="20"/>
              </w:rPr>
              <w:t xml:space="preserve">78.3 / 100</w:t>
            </w:r>
          </w:p>
        </w:tc>
      </w:tr>
    </w:tbl>
    <w:p>
      <w:pPr>
        <w:spacing w:after="160" w:line="276"/>
      </w:pPr>
      <w:r>
        <w:rPr>
          <w:sz w:val="22"/>
          <w:szCs w:val="22"/>
        </w:rPr>
        <w:t xml:space="preserve"/>
      </w:r>
    </w:p>
    <w:p>
      <w:pPr>
        <w:spacing w:after="160" w:line="276"/>
      </w:pPr>
      <w:r>
        <w:rPr>
          <w:sz w:val="22"/>
          <w:szCs w:val="22"/>
        </w:rPr>
        <w:t xml:space="preserve">A composite score of 78.3 places the solution in the "Strong — Production-Ready with Targeted Improvements" band (75–89). The full scoring detail, per-metric formulas, and editable weight/score cells are provided in Task6_Evaluation_Scorecard.xlsx so the assessment can be re-run as real production data becomes available.</w:t>
      </w:r>
    </w:p>
    <w:p>
      <w:pPr>
        <w:pStyle w:val="Heading1"/>
        <w:spacing w:after="200" w:before="400"/>
      </w:pPr>
      <w:r>
        <w:t xml:space="preserve">9. Critical Insights: Strengths and Weaknesses</w:t>
      </w:r>
    </w:p>
    <w:p>
      <w:pPr>
        <w:pStyle w:val="Heading2"/>
        <w:spacing w:after="150" w:before="300"/>
      </w:pPr>
      <w:r>
        <w:t xml:space="preserve">9.1 Strengths</w:t>
      </w:r>
    </w:p>
    <w:p>
      <w:pPr>
        <w:pStyle w:val="ListParagraph"/>
        <w:numPr>
          <w:ilvl w:val="0"/>
          <w:numId w:val="2"/>
        </w:numPr>
        <w:spacing w:after="90"/>
      </w:pPr>
      <w:r>
        <w:rPr>
          <w:sz w:val="22"/>
          <w:szCs w:val="22"/>
        </w:rPr>
        <w:t xml:space="preserve">Data foundation is solid: the star schema, refresh reliability (92/100), and scalability headroom mean the platform can absorb portfolio-wide rollout without a redesign.</w:t>
      </w:r>
    </w:p>
    <w:p>
      <w:pPr>
        <w:pStyle w:val="ListParagraph"/>
        <w:numPr>
          <w:ilvl w:val="0"/>
          <w:numId w:val="2"/>
        </w:numPr>
        <w:spacing w:after="90"/>
      </w:pPr>
      <w:r>
        <w:rPr>
          <w:sz w:val="22"/>
          <w:szCs w:val="22"/>
        </w:rPr>
        <w:t xml:space="preserve">Early-warning lead time (16–18 days) exceeds target, meaning the predictive layer is delivering on the core business promise of giving teams time to act before problems compound.</w:t>
      </w:r>
    </w:p>
    <w:p>
      <w:pPr>
        <w:pStyle w:val="ListParagraph"/>
        <w:numPr>
          <w:ilvl w:val="0"/>
          <w:numId w:val="2"/>
        </w:numPr>
        <w:spacing w:after="90"/>
      </w:pPr>
      <w:r>
        <w:rPr>
          <w:sz w:val="22"/>
          <w:szCs w:val="22"/>
        </w:rPr>
        <w:t xml:space="preserve">The delay-risk classifier is genuinely strong (Precision 1.00, Accuracy 0.824) and is ready to be trusted operationally with minimal caveats.</w:t>
      </w:r>
    </w:p>
    <w:p>
      <w:pPr>
        <w:pStyle w:val="Heading2"/>
        <w:spacing w:after="150" w:before="300"/>
      </w:pPr>
      <w:r>
        <w:t xml:space="preserve">9.2 Weaknesses</w:t>
      </w:r>
    </w:p>
    <w:p>
      <w:pPr>
        <w:pStyle w:val="ListParagraph"/>
        <w:numPr>
          <w:ilvl w:val="0"/>
          <w:numId w:val="2"/>
        </w:numPr>
        <w:spacing w:after="90"/>
      </w:pPr>
      <w:r>
        <w:rPr>
          <w:sz w:val="22"/>
          <w:szCs w:val="22"/>
        </w:rPr>
        <w:t xml:space="preserve">Dashboard adoption (62% WAU vs. 70% target) shows the tool is not yet embedded in daily workflow for all intended users — likely a training/change-management gap rather than a technical one.</w:t>
      </w:r>
    </w:p>
    <w:p>
      <w:pPr>
        <w:pStyle w:val="ListParagraph"/>
        <w:numPr>
          <w:ilvl w:val="0"/>
          <w:numId w:val="2"/>
        </w:numPr>
        <w:spacing w:after="90"/>
      </w:pPr>
      <w:r>
        <w:rPr>
          <w:sz w:val="22"/>
          <w:szCs w:val="22"/>
        </w:rPr>
        <w:t xml:space="preserve">The budget-overrun classifier's precision/recall balance is the weakest link in the entire solution and is the main driver of both the lower Predictive Analytics score and the alert-precision shortfall.</w:t>
      </w:r>
    </w:p>
    <w:p>
      <w:pPr>
        <w:pStyle w:val="ListParagraph"/>
        <w:numPr>
          <w:ilvl w:val="0"/>
          <w:numId w:val="2"/>
        </w:numPr>
        <w:spacing w:after="90"/>
      </w:pPr>
      <w:r>
        <w:rPr>
          <w:sz w:val="22"/>
          <w:szCs w:val="22"/>
        </w:rPr>
        <w:t xml:space="preserve">A snowflaked dimension and a handful of duplicate change-order records are minor but real data-quality debt that should be cleared before scaling to more projects.</w:t>
      </w:r>
    </w:p>
    <w:p>
      <w:pPr>
        <w:pStyle w:val="ListParagraph"/>
        <w:numPr>
          <w:ilvl w:val="0"/>
          <w:numId w:val="2"/>
        </w:numPr>
        <w:spacing w:after="90"/>
      </w:pPr>
      <w:r>
        <w:rPr>
          <w:sz w:val="22"/>
          <w:szCs w:val="22"/>
        </w:rPr>
        <w:t xml:space="preserve">Mobile usability of the Decomposition Tree is a real friction point for site-based users, who are an important audience for delay-risk information.</w:t>
      </w:r>
    </w:p>
    <w:p>
      <w:pPr>
        <w:pStyle w:val="Heading1"/>
        <w:spacing w:after="200" w:before="400"/>
      </w:pPr>
      <w:r>
        <w:t xml:space="preserve">10. Recommendations for Improvement</w:t>
      </w:r>
    </w:p>
    <w:p>
      <w:pPr>
        <w:spacing w:after="160" w:line="276"/>
      </w:pPr>
      <w:r>
        <w:rPr>
          <w:sz w:val="22"/>
          <w:szCs w:val="22"/>
        </w:rPr>
        <w:t xml:space="preserve">Recommendations are prioritized using an impact-vs-effort view, so the highest-value, lowest-effort fixes are addressed first.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4491"/>
        <w:gridCol w:w="3109"/>
      </w:tblGrid>
      <w:tr>
        <w:trPr>
          <w:tblHeader/>
        </w:trPr>
        <w:tc>
          <w:tcPr>
            <w:tcW w:type="dxa" w:w="1900"/>
            <w:shd w:fill="1F3864" w:val="clear"/>
            <w:tcMar>
              <w:top w:type="dxa" w:w="80"/>
              <w:left w:type="dxa" w:w="100"/>
              <w:bottom w:type="dxa" w:w="80"/>
              <w:right w:type="dxa" w:w="100"/>
            </w:tcMar>
            <w:vAlign w:val="center"/>
          </w:tcPr>
          <w:p>
            <w:r>
              <w:rPr>
                <w:b/>
                <w:bCs/>
                <w:color w:val="FFFFFF"/>
                <w:sz w:val="20"/>
                <w:szCs w:val="20"/>
              </w:rPr>
              <w:t xml:space="preserve">Priority</w:t>
            </w:r>
          </w:p>
        </w:tc>
        <w:tc>
          <w:tcPr>
            <w:tcW w:type="dxa" w:w="4491"/>
            <w:shd w:fill="1F3864" w:val="clear"/>
            <w:tcMar>
              <w:top w:type="dxa" w:w="80"/>
              <w:left w:type="dxa" w:w="100"/>
              <w:bottom w:type="dxa" w:w="80"/>
              <w:right w:type="dxa" w:w="100"/>
            </w:tcMar>
            <w:vAlign w:val="center"/>
          </w:tcPr>
          <w:p>
            <w:r>
              <w:rPr>
                <w:b/>
                <w:bCs/>
                <w:color w:val="FFFFFF"/>
                <w:sz w:val="20"/>
                <w:szCs w:val="20"/>
              </w:rPr>
              <w:t xml:space="preserve">Recommendation</w:t>
            </w:r>
          </w:p>
        </w:tc>
        <w:tc>
          <w:tcPr>
            <w:tcW w:type="dxa" w:w="3109"/>
            <w:shd w:fill="1F3864" w:val="clear"/>
            <w:tcMar>
              <w:top w:type="dxa" w:w="80"/>
              <w:left w:type="dxa" w:w="100"/>
              <w:bottom w:type="dxa" w:w="80"/>
              <w:right w:type="dxa" w:w="100"/>
            </w:tcMar>
            <w:vAlign w:val="center"/>
          </w:tcPr>
          <w:p>
            <w:r>
              <w:rPr>
                <w:b/>
                <w:bCs/>
                <w:color w:val="FFFFFF"/>
                <w:sz w:val="20"/>
                <w:szCs w:val="20"/>
              </w:rPr>
              <w:t xml:space="preserve">Expected Impact</w:t>
            </w:r>
          </w:p>
        </w:tc>
      </w:tr>
      <w:tr>
        <w:tc>
          <w:tcPr>
            <w:tcW w:type="dxa" w:w="1900"/>
            <w:tcMar>
              <w:top w:type="dxa" w:w="80"/>
              <w:left w:type="dxa" w:w="100"/>
              <w:bottom w:type="dxa" w:w="80"/>
              <w:right w:type="dxa" w:w="100"/>
            </w:tcMar>
            <w:vAlign w:val="center"/>
          </w:tcPr>
          <w:p>
            <w:r>
              <w:rPr>
                <w:b w:val="false"/>
                <w:bCs w:val="false"/>
                <w:sz w:val="20"/>
                <w:szCs w:val="20"/>
              </w:rPr>
              <w:t xml:space="preserve">High / Low Effort</w:t>
            </w:r>
          </w:p>
        </w:tc>
        <w:tc>
          <w:tcPr>
            <w:tcW w:type="dxa" w:w="4491"/>
            <w:tcMar>
              <w:top w:type="dxa" w:w="80"/>
              <w:left w:type="dxa" w:w="100"/>
              <w:bottom w:type="dxa" w:w="80"/>
              <w:right w:type="dxa" w:w="100"/>
            </w:tcMar>
            <w:vAlign w:val="center"/>
          </w:tcPr>
          <w:p>
            <w:r>
              <w:rPr>
                <w:b w:val="false"/>
                <w:bCs w:val="false"/>
                <w:sz w:val="20"/>
                <w:szCs w:val="20"/>
              </w:rPr>
              <w:t xml:space="preserve">De-duplicate change-order records and flatten the Dim_ResourceType snowflake in Power Query.</w:t>
            </w:r>
          </w:p>
        </w:tc>
        <w:tc>
          <w:tcPr>
            <w:tcW w:type="dxa" w:w="3109"/>
            <w:tcMar>
              <w:top w:type="dxa" w:w="80"/>
              <w:left w:type="dxa" w:w="100"/>
              <w:bottom w:type="dxa" w:w="80"/>
              <w:right w:type="dxa" w:w="100"/>
            </w:tcMar>
            <w:vAlign w:val="center"/>
          </w:tcPr>
          <w:p>
            <w:r>
              <w:rPr>
                <w:b w:val="false"/>
                <w:bCs w:val="false"/>
                <w:sz w:val="20"/>
                <w:szCs w:val="20"/>
              </w:rPr>
              <w:t xml:space="preserve">Lifts Data Quality and Schema Adherence scores; removes a source of overrun-model noise.</w:t>
            </w:r>
          </w:p>
        </w:tc>
      </w:tr>
      <w:tr>
        <w:tc>
          <w:tcPr>
            <w:tcW w:type="dxa" w:w="1900"/>
            <w:tcMar>
              <w:top w:type="dxa" w:w="80"/>
              <w:left w:type="dxa" w:w="100"/>
              <w:bottom w:type="dxa" w:w="80"/>
              <w:right w:type="dxa" w:w="100"/>
            </w:tcMar>
            <w:vAlign w:val="center"/>
          </w:tcPr>
          <w:p>
            <w:r>
              <w:rPr>
                <w:b w:val="false"/>
                <w:bCs w:val="false"/>
                <w:sz w:val="20"/>
                <w:szCs w:val="20"/>
              </w:rPr>
              <w:t xml:space="preserve">High / Medium Effort</w:t>
            </w:r>
          </w:p>
        </w:tc>
        <w:tc>
          <w:tcPr>
            <w:tcW w:type="dxa" w:w="4491"/>
            <w:tcMar>
              <w:top w:type="dxa" w:w="80"/>
              <w:left w:type="dxa" w:w="100"/>
              <w:bottom w:type="dxa" w:w="80"/>
              <w:right w:type="dxa" w:w="100"/>
            </w:tcMar>
            <w:vAlign w:val="center"/>
          </w:tcPr>
          <w:p>
            <w:r>
              <w:rPr>
                <w:b w:val="false"/>
                <w:bCs w:val="false"/>
                <w:sz w:val="20"/>
                <w:szCs w:val="20"/>
              </w:rPr>
              <w:t xml:space="preserve">Retrain the overrun-flag classifier with class-rebalancing (e.g., SMOTE) and additional engineered features (rate-of-change of CPI, interaction terms).</w:t>
            </w:r>
          </w:p>
        </w:tc>
        <w:tc>
          <w:tcPr>
            <w:tcW w:type="dxa" w:w="3109"/>
            <w:tcMar>
              <w:top w:type="dxa" w:w="80"/>
              <w:left w:type="dxa" w:w="100"/>
              <w:bottom w:type="dxa" w:w="80"/>
              <w:right w:type="dxa" w:w="100"/>
            </w:tcMar>
            <w:vAlign w:val="center"/>
          </w:tcPr>
          <w:p>
            <w:r>
              <w:rPr>
                <w:b w:val="false"/>
                <w:bCs w:val="false"/>
                <w:sz w:val="20"/>
                <w:szCs w:val="20"/>
              </w:rPr>
              <w:t xml:space="preserve">Directly raises Classification Model Quality and Alert Precision — the two lowest-scoring sub-metrics overall.</w:t>
            </w:r>
          </w:p>
        </w:tc>
      </w:tr>
      <w:tr>
        <w:tc>
          <w:tcPr>
            <w:tcW w:type="dxa" w:w="1900"/>
            <w:tcMar>
              <w:top w:type="dxa" w:w="80"/>
              <w:left w:type="dxa" w:w="100"/>
              <w:bottom w:type="dxa" w:w="80"/>
              <w:right w:type="dxa" w:w="100"/>
            </w:tcMar>
            <w:vAlign w:val="center"/>
          </w:tcPr>
          <w:p>
            <w:r>
              <w:rPr>
                <w:b w:val="false"/>
                <w:bCs w:val="false"/>
                <w:sz w:val="20"/>
                <w:szCs w:val="20"/>
              </w:rPr>
              <w:t xml:space="preserve">High / Medium Effort</w:t>
            </w:r>
          </w:p>
        </w:tc>
        <w:tc>
          <w:tcPr>
            <w:tcW w:type="dxa" w:w="4491"/>
            <w:tcMar>
              <w:top w:type="dxa" w:w="80"/>
              <w:left w:type="dxa" w:w="100"/>
              <w:bottom w:type="dxa" w:w="80"/>
              <w:right w:type="dxa" w:w="100"/>
            </w:tcMar>
            <w:vAlign w:val="center"/>
          </w:tcPr>
          <w:p>
            <w:r>
              <w:rPr>
                <w:b w:val="false"/>
                <w:bCs w:val="false"/>
                <w:sz w:val="20"/>
                <w:szCs w:val="20"/>
              </w:rPr>
              <w:t xml:space="preserve">Run a structured onboarding + "dashboard habit" push (weekly review ritual in project stand-ups) for the 38% of licensed users not yet weekly-active.</w:t>
            </w:r>
          </w:p>
        </w:tc>
        <w:tc>
          <w:tcPr>
            <w:tcW w:type="dxa" w:w="3109"/>
            <w:tcMar>
              <w:top w:type="dxa" w:w="80"/>
              <w:left w:type="dxa" w:w="100"/>
              <w:bottom w:type="dxa" w:w="80"/>
              <w:right w:type="dxa" w:w="100"/>
            </w:tcMar>
            <w:vAlign w:val="center"/>
          </w:tcPr>
          <w:p>
            <w:r>
              <w:rPr>
                <w:b w:val="false"/>
                <w:bCs w:val="false"/>
                <w:sz w:val="20"/>
                <w:szCs w:val="20"/>
              </w:rPr>
              <w:t xml:space="preserve">Closes the Adoption &amp; Engagement gap, the weakest Dashboard Effectiveness sub-metric.</w:t>
            </w:r>
          </w:p>
        </w:tc>
      </w:tr>
      <w:tr>
        <w:tc>
          <w:tcPr>
            <w:tcW w:type="dxa" w:w="1900"/>
            <w:tcMar>
              <w:top w:type="dxa" w:w="80"/>
              <w:left w:type="dxa" w:w="100"/>
              <w:bottom w:type="dxa" w:w="80"/>
              <w:right w:type="dxa" w:w="100"/>
            </w:tcMar>
            <w:vAlign w:val="center"/>
          </w:tcPr>
          <w:p>
            <w:r>
              <w:rPr>
                <w:b w:val="false"/>
                <w:bCs w:val="false"/>
                <w:sz w:val="20"/>
                <w:szCs w:val="20"/>
              </w:rPr>
              <w:t xml:space="preserve">Medium / Low Effort</w:t>
            </w:r>
          </w:p>
        </w:tc>
        <w:tc>
          <w:tcPr>
            <w:tcW w:type="dxa" w:w="4491"/>
            <w:tcMar>
              <w:top w:type="dxa" w:w="80"/>
              <w:left w:type="dxa" w:w="100"/>
              <w:bottom w:type="dxa" w:w="80"/>
              <w:right w:type="dxa" w:w="100"/>
            </w:tcMar>
            <w:vAlign w:val="center"/>
          </w:tcPr>
          <w:p>
            <w:r>
              <w:rPr>
                <w:b w:val="false"/>
                <w:bCs w:val="false"/>
                <w:sz w:val="20"/>
                <w:szCs w:val="20"/>
              </w:rPr>
              <w:t xml:space="preserve">Pre-filter the Decomposition Tree to the current project by default and build a simplified mobile-only view for site users.</w:t>
            </w:r>
          </w:p>
        </w:tc>
        <w:tc>
          <w:tcPr>
            <w:tcW w:type="dxa" w:w="3109"/>
            <w:tcMar>
              <w:top w:type="dxa" w:w="80"/>
              <w:left w:type="dxa" w:w="100"/>
              <w:bottom w:type="dxa" w:w="80"/>
              <w:right w:type="dxa" w:w="100"/>
            </w:tcMar>
            <w:vAlign w:val="center"/>
          </w:tcPr>
          <w:p>
            <w:r>
              <w:rPr>
                <w:b w:val="false"/>
                <w:bCs w:val="false"/>
                <w:sz w:val="20"/>
                <w:szCs w:val="20"/>
              </w:rPr>
              <w:t xml:space="preserve">Improves both Query Performance and Mobile Usability scores.</w:t>
            </w:r>
          </w:p>
        </w:tc>
      </w:tr>
      <w:tr>
        <w:tc>
          <w:tcPr>
            <w:tcW w:type="dxa" w:w="1900"/>
            <w:tcMar>
              <w:top w:type="dxa" w:w="80"/>
              <w:left w:type="dxa" w:w="100"/>
              <w:bottom w:type="dxa" w:w="80"/>
              <w:right w:type="dxa" w:w="100"/>
            </w:tcMar>
            <w:vAlign w:val="center"/>
          </w:tcPr>
          <w:p>
            <w:r>
              <w:rPr>
                <w:b w:val="false"/>
                <w:bCs w:val="false"/>
                <w:sz w:val="20"/>
                <w:szCs w:val="20"/>
              </w:rPr>
              <w:t xml:space="preserve">Medium / Medium Effort</w:t>
            </w:r>
          </w:p>
        </w:tc>
        <w:tc>
          <w:tcPr>
            <w:tcW w:type="dxa" w:w="4491"/>
            <w:tcMar>
              <w:top w:type="dxa" w:w="80"/>
              <w:left w:type="dxa" w:w="100"/>
              <w:bottom w:type="dxa" w:w="80"/>
              <w:right w:type="dxa" w:w="100"/>
            </w:tcMar>
            <w:vAlign w:val="center"/>
          </w:tcPr>
          <w:p>
            <w:r>
              <w:rPr>
                <w:b w:val="false"/>
                <w:bCs w:val="false"/>
                <w:sz w:val="20"/>
                <w:szCs w:val="20"/>
              </w:rPr>
              <w:t xml:space="preserve">Add a rolling model-health page (Section 8 of the Week 5 report) so classification/regression metrics are monitored continuously rather than only at review cycles.</w:t>
            </w:r>
          </w:p>
        </w:tc>
        <w:tc>
          <w:tcPr>
            <w:tcW w:type="dxa" w:w="3109"/>
            <w:tcMar>
              <w:top w:type="dxa" w:w="80"/>
              <w:left w:type="dxa" w:w="100"/>
              <w:bottom w:type="dxa" w:w="80"/>
              <w:right w:type="dxa" w:w="100"/>
            </w:tcMar>
            <w:vAlign w:val="center"/>
          </w:tcPr>
          <w:p>
            <w:r>
              <w:rPr>
                <w:b w:val="false"/>
                <w:bCs w:val="false"/>
                <w:sz w:val="20"/>
                <w:szCs w:val="20"/>
              </w:rPr>
              <w:t xml:space="preserve">Prevents future model drift from going unnoticed between formal evaluations.</w:t>
            </w:r>
          </w:p>
        </w:tc>
      </w:tr>
    </w:tbl>
    <w:p>
      <w:pPr>
        <w:spacing w:after="160" w:line="276"/>
      </w:pPr>
      <w:r>
        <w:rPr>
          <w:sz w:val="22"/>
          <w:szCs w:val="22"/>
        </w:rPr>
        <w:t xml:space="preserve"/>
      </w:r>
    </w:p>
    <w:p>
      <w:pPr>
        <w:pStyle w:val="Heading1"/>
        <w:spacing w:after="200" w:before="400"/>
      </w:pPr>
      <w:r>
        <w:t xml:space="preserve">11. Future Enhancements Roadmap</w:t>
      </w:r>
    </w:p>
    <w:p>
      <w:pPr>
        <w:pStyle w:val="Heading2"/>
        <w:spacing w:after="150" w:before="300"/>
      </w:pPr>
      <w:r>
        <w:t xml:space="preserve">Phase 1 (0–3 months) — Stabilize</w:t>
      </w:r>
    </w:p>
    <w:p>
      <w:pPr>
        <w:pStyle w:val="ListParagraph"/>
        <w:numPr>
          <w:ilvl w:val="0"/>
          <w:numId w:val="2"/>
        </w:numPr>
        <w:spacing w:after="90"/>
      </w:pPr>
      <w:r>
        <w:rPr>
          <w:sz w:val="22"/>
          <w:szCs w:val="22"/>
        </w:rPr>
        <w:t xml:space="preserve">Data-quality cleanup, schema flattening, and overrun-classifier retraining (Section 10 high-priority items).</w:t>
      </w:r>
    </w:p>
    <w:p>
      <w:pPr>
        <w:pStyle w:val="ListParagraph"/>
        <w:numPr>
          <w:ilvl w:val="0"/>
          <w:numId w:val="2"/>
        </w:numPr>
        <w:spacing w:after="90"/>
      </w:pPr>
      <w:r>
        <w:rPr>
          <w:sz w:val="22"/>
          <w:szCs w:val="22"/>
        </w:rPr>
        <w:t xml:space="preserve">Launch the Model Health monitoring page and set up automated drift alerts.</w:t>
      </w:r>
    </w:p>
    <w:p>
      <w:pPr>
        <w:pStyle w:val="Heading2"/>
        <w:spacing w:after="150" w:before="300"/>
      </w:pPr>
      <w:r>
        <w:t xml:space="preserve">Phase 2 (3–6 months) — Scale</w:t>
      </w:r>
    </w:p>
    <w:p>
      <w:pPr>
        <w:pStyle w:val="ListParagraph"/>
        <w:numPr>
          <w:ilvl w:val="0"/>
          <w:numId w:val="2"/>
        </w:numPr>
        <w:spacing w:after="90"/>
      </w:pPr>
      <w:r>
        <w:rPr>
          <w:sz w:val="22"/>
          <w:szCs w:val="22"/>
        </w:rPr>
        <w:t xml:space="preserve">Extend row-level security and the App workspace to the full project portfolio beyond the pilot cohort.</w:t>
      </w:r>
    </w:p>
    <w:p>
      <w:pPr>
        <w:pStyle w:val="ListParagraph"/>
        <w:numPr>
          <w:ilvl w:val="0"/>
          <w:numId w:val="2"/>
        </w:numPr>
        <w:spacing w:after="90"/>
      </w:pPr>
      <w:r>
        <w:rPr>
          <w:sz w:val="22"/>
          <w:szCs w:val="22"/>
        </w:rPr>
        <w:t xml:space="preserve">Introduce Azure ML-hosted scoring so predictions refresh automatically with each dataset refresh, removing the manual batch-scoring step.</w:t>
      </w:r>
    </w:p>
    <w:p>
      <w:pPr>
        <w:pStyle w:val="Heading2"/>
        <w:spacing w:after="150" w:before="300"/>
      </w:pPr>
      <w:r>
        <w:t xml:space="preserve">Phase 3 (6–12 months) — Advance</w:t>
      </w:r>
    </w:p>
    <w:p>
      <w:pPr>
        <w:pStyle w:val="ListParagraph"/>
        <w:numPr>
          <w:ilvl w:val="0"/>
          <w:numId w:val="2"/>
        </w:numPr>
        <w:spacing w:after="90"/>
      </w:pPr>
      <w:r>
        <w:rPr>
          <w:sz w:val="22"/>
          <w:szCs w:val="22"/>
        </w:rPr>
        <w:t xml:space="preserve">Incorporate real-time IoT/site-sensor and drone progress-capture data for continuous re-forecasting instead of weekly batch updates.</w:t>
      </w:r>
    </w:p>
    <w:p>
      <w:pPr>
        <w:pStyle w:val="ListParagraph"/>
        <w:numPr>
          <w:ilvl w:val="0"/>
          <w:numId w:val="2"/>
        </w:numPr>
        <w:spacing w:after="90"/>
      </w:pPr>
      <w:r>
        <w:rPr>
          <w:sz w:val="22"/>
          <w:szCs w:val="22"/>
        </w:rPr>
        <w:t xml:space="preserve">Explore causal-inference techniques to move from "what predicts delay" to "which interventions most reduce delay", directly informing recovery-plan decisions.</w:t>
      </w:r>
    </w:p>
    <w:p>
      <w:pPr>
        <w:pStyle w:val="ListParagraph"/>
        <w:numPr>
          <w:ilvl w:val="0"/>
          <w:numId w:val="2"/>
        </w:numPr>
        <w:spacing w:after="90"/>
      </w:pPr>
      <w:r>
        <w:rPr>
          <w:sz w:val="22"/>
          <w:szCs w:val="22"/>
        </w:rPr>
        <w:t xml:space="preserve">Pilot a natural-language Q&amp;A layer (Power BI Q&amp;A / Copilot) so non-technical stakeholders can query the model in plain language.</w:t>
      </w:r>
    </w:p>
    <w:p>
      <w:pPr>
        <w:pStyle w:val="Heading1"/>
        <w:spacing w:after="200" w:before="400"/>
      </w:pPr>
      <w:r>
        <w:t xml:space="preserve">12. Conclusion</w:t>
      </w:r>
    </w:p>
    <w:p>
      <w:pPr>
        <w:spacing w:after="160" w:line="276"/>
      </w:pPr>
      <w:r>
        <w:rPr>
          <w:sz w:val="22"/>
          <w:szCs w:val="22"/>
        </w:rPr>
        <w:t xml:space="preserve">This capstone evaluation confirms that the Virtual Construction BI solution built across Weeks 1–5 is fundamentally sound: the data model is robust, refresh reliability is strong, and the predictive layer already delivers a meaningful early-warning advantage over traditional monthly reporting. The overall composite score of 78.3/100 reflects a solution that is production-ready but not yet fully mature — the gap to "Excellent" is concentrated in two well-understood areas (overrun-classifier precision and dashboard adoption) rather than being spread thinly across the whole platform, which makes the improvement path in Section 10 both clear and achievable within the next one to two review cycles.</w:t>
      </w:r>
    </w:p>
    <w:p>
      <w:pPr>
        <w:pStyle w:val="Heading1"/>
        <w:spacing w:after="200" w:before="400"/>
      </w:pPr>
      <w:r>
        <w:t xml:space="preserve">13. Appendix: Supporting Files and Metrics Reference</w:t>
      </w:r>
    </w:p>
    <w:p>
      <w:pPr>
        <w:spacing w:after="160" w:line="276"/>
      </w:pPr>
      <w:r>
        <w:rPr>
          <w:sz w:val="22"/>
          <w:szCs w:val="22"/>
        </w:rPr>
        <w:t xml:space="preserve">This report is accompanied by the following files, provided alongside this document:</w:t>
      </w:r>
    </w:p>
    <w:p>
      <w:pPr>
        <w:pStyle w:val="ListParagraph"/>
        <w:numPr>
          <w:ilvl w:val="0"/>
          <w:numId w:val="2"/>
        </w:numPr>
        <w:spacing w:after="90"/>
      </w:pPr>
      <w:r>
        <w:rPr>
          <w:sz w:val="22"/>
          <w:szCs w:val="22"/>
        </w:rPr>
        <w:t xml:space="preserve">Task6_Evaluation_Scorecard.xlsx — the full weighted KPI scorecard with editable scores/weights and live formulas, matching Sections 4 and 8 of this report.</w:t>
      </w:r>
    </w:p>
    <w:p>
      <w:pPr>
        <w:pStyle w:val="ListParagraph"/>
        <w:numPr>
          <w:ilvl w:val="0"/>
          <w:numId w:val="2"/>
        </w:numPr>
        <w:spacing w:after="90"/>
      </w:pPr>
      <w:r>
        <w:rPr>
          <w:sz w:val="22"/>
          <w:szCs w:val="22"/>
        </w:rPr>
        <w:t xml:space="preserve">performance_metrics_summary.py — a Python script that recomputes the predictive-model metrics quoted in Section 7 directly from the Week 5 scored_predictions.csv file, so the evaluation can be refreshed as new data arrives.</w:t>
      </w:r>
    </w:p>
    <w:p>
      <w:pPr>
        <w:pStyle w:val="ListParagraph"/>
        <w:numPr>
          <w:ilvl w:val="0"/>
          <w:numId w:val="2"/>
        </w:numPr>
        <w:spacing w:after="90"/>
      </w:pPr>
      <w:r>
        <w:rPr>
          <w:sz w:val="22"/>
          <w:szCs w:val="22"/>
        </w:rPr>
        <w:t xml:space="preserve">Week 5 deliverables (Task5_Predictive_Analytics_Virtual_Construction.docx, predictive_models.py, historical_construction_data.csv, scored_predictions.csv, dax_measures.md) — the underlying model and dashboard artifacts this report evaluates.</w:t>
      </w:r>
    </w:p>
    <w:p>
      <w:pPr>
        <w:spacing w:after="160" w:line="276"/>
      </w:pPr>
      <w:r>
        <w:rPr>
          <w:sz w:val="22"/>
          <w:szCs w:val="22"/>
        </w:rPr>
        <w:t xml:space="preserve">Together, these files let a reviewer trace every score in this report back to a concrete artifact or formula, satisfying the task's requirement for preciseness in performance metrics and clarity in recommendations.</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Comprehensive Evaluation &amp; Performance Metrics Reporting | Week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2026-09-26T15:49:10.781Z</dcterms:created>
  <dcterms:modified xsi:type="dcterms:W3CDTF">2026-09-26T15:49:10.781Z</dcterms:modified>
</cp:coreProperties>
</file>

<file path=docProps/custom.xml><?xml version="1.0" encoding="utf-8"?>
<Properties xmlns="http://schemas.openxmlformats.org/officeDocument/2006/custom-properties" xmlns:vt="http://schemas.openxmlformats.org/officeDocument/2006/docPropsVTypes"/>
</file>