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Chapter 7: Theoretical Logic of the AI Styling System</w:t>
      </w:r>
    </w:p>
    <w:p>
      <w:r>
        <w:rPr>
          <w:rFonts w:ascii="Times New Roman" w:hAnsi="Times New Roman"/>
          <w:b/>
          <w:sz w:val="26"/>
        </w:rPr>
        <w:t>7.1 Purpose and Scope</w:t>
      </w:r>
    </w:p>
    <w:p>
      <w:r>
        <w:t>This chapter presents the theoretical logic behind the AI styling system, with emphasis on design intent, decision principles, and pipeline rationale. The objective is to explain how the system reaches style recommendations in a structured and academically interpretable way, without exposing implementation code. The chapter is written for research documentation and therefore focuses on conceptual behavior, value logic, and selection rationale rather than internal software syntax.</w:t>
      </w:r>
    </w:p>
    <w:p>
      <w:r>
        <w:t>The system is designed as an applied intelligence layer that supports everyday outfit selection, visual experimentation, and sustainable behavior. It does not attempt to replace human taste. Instead, it acts as a guided decision partner that reduces cognitive effort, improves consistency, and encourages better utilization of existing clothing resources. This guiding role is important because styling behavior in real-world contexts is rarely solved by one-variable optimization. It involves personal identity, weather, occasion, comfort, visual harmony, and practical constraints, all at the same time.</w:t>
      </w:r>
    </w:p>
    <w:p>
      <w:r>
        <w:t>For this reason, the theoretical frame used in the system is hybrid: AI perception for interpreting visual input, rule-guided personalization for translating user profile information, and context-aware ranking for recommendation output. The chapter explains each layer and then extends the discussion to the virtual try-on path, the 3D avatar path, and the services selected to support these paths. The final sections explain why these service choices are appropriate for a prototype that must remain understandable, presentable, and scalable for future research development.</w:t>
      </w:r>
    </w:p>
    <w:p>
      <w:r>
        <w:rPr>
          <w:rFonts w:ascii="Times New Roman" w:hAnsi="Times New Roman"/>
          <w:b/>
          <w:sz w:val="26"/>
        </w:rPr>
        <w:t>7.2 Conceptual Position of the AI System</w:t>
      </w:r>
    </w:p>
    <w:p>
      <w:r>
        <w:t>At a conceptual level, the AI system is positioned as a decision support model rather than a fully autonomous fashion engine. This distinction matters academically. A fully autonomous model usually optimizes for prediction accuracy on historical labels, whereas a decision support model balances recommendation quality with transparency, controllability, and user trust. In this system, transparency is treated as a first-class design requirement because users should be able to understand why a recommendation appears, especially when recommendations are linked to sustainability outcomes.</w:t>
      </w:r>
    </w:p>
    <w:p>
      <w:r>
        <w:t>The system therefore follows a human-centered intelligence approach. It observes user-provided visual assets, extracts style-relevant cues, interprets these cues in profile context, and produces suggested combinations that the user can accept, reject, freeze, or refine. This iterative behavior is central to the design. Instead of one-shot output generation, the system supports interactive progression: initial recommendation, manual adjustment, virtual preview, and optional calendar saving. Such interaction aligns with how people naturally make clothing decisions in real life: they compare, revise, and confirm before finalizing.</w:t>
      </w:r>
    </w:p>
    <w:p>
      <w:r>
        <w:t>From a research perspective, this conceptual position also improves auditability. Because recommendation logic is decomposed into meaningful stages, each stage can be evaluated independently in future experiments. For example, one can test the quality of profile inference separately from weather responsiveness, or test visual plausibility separately from recommendation relevance. This modularity supports strong academic reporting because model behavior can be discussed as observable subsystems rather than as an opaque black box.</w:t>
      </w:r>
    </w:p>
    <w:p>
      <w:r>
        <w:rPr>
          <w:rFonts w:ascii="Times New Roman" w:hAnsi="Times New Roman"/>
          <w:b/>
          <w:sz w:val="26"/>
        </w:rPr>
        <w:t>7.3 Theoretical Structure of the Matching Pipeline</w:t>
      </w:r>
    </w:p>
    <w:p>
      <w:r>
        <w:t>The AI matching pipeline is designed as a sequence of semantic transformations. Raw visual and contextual inputs are transformed into intermediate representations, and these representations are transformed into ranked outfit options. The theoretical advantage of this structure is that each transformation has a clear purpose: perception transforms pixels into descriptors, profiling transforms descriptors into personal style signals, contextualization transforms candidate pools into relevant subsets, and ranking transforms relevance into decision-ready output.</w:t>
      </w:r>
    </w:p>
    <w:p>
      <w:r>
        <w:t>The first transformation is visual interpretation of garments. Here, the system forms semantic labels such as garment type, pattern class, and dominant color family. These labels are not treated as decorative metadata; they act as downstream decision anchors. Category labels affect which combinations are permitted, pattern labels affect visual coherence checks, and color descriptors affect season and harmony alignment. Without this semantic layer, matching would collapse into random pairing and lose both aesthetic quality and explanatory value.</w:t>
      </w:r>
    </w:p>
    <w:p>
      <w:r>
        <w:t>The second transformation is user-profile grounding. Style suggestions are not generated in abstract space; they are generated relative to personal signals, including undertone, season tendency, contrast profile, and usage history. This profile grounding ensures that recommendation quality is interpreted as personal suitability rather than global popularity. The third transformation is context integration, where occasion and weather alter the effective relevance of candidates. The final transformation is preference-aware selection, where top candidates are promoted while preserving variation to prevent repetitive outputs. This pipeline-level architecture is the core theoretical foundation of the system?s matching intelligence.</w:t>
      </w:r>
    </w:p>
    <w:p>
      <w:r>
        <w:rPr>
          <w:rFonts w:ascii="Times New Roman" w:hAnsi="Times New Roman"/>
          <w:b/>
          <w:sz w:val="26"/>
        </w:rPr>
        <w:t>7.4 Garment Understanding as Semantic Perception</w:t>
      </w:r>
    </w:p>
    <w:p>
      <w:r>
        <w:t>The garment understanding layer is based on semantic perception theory: the system should perceive clothing not as isolated images but as style objects with attributes. These attributes include role in an outfit (for example upper or lower body relevance), visible motif, structural tone, and color identity. The reason for this approach is practical. Matching quality depends more on interpretable attributes than on raw visual similarity. Two visually different garments can be highly compatible if their attributes align in category and tone, while two visually similar garments can be incompatible if they violate context or proportion constraints.</w:t>
      </w:r>
    </w:p>
    <w:p>
      <w:r>
        <w:t>In this framework, pattern recognition is particularly important because pattern is a strong visual signal in outfit balance. Solid pieces often act as stabilizers, while high-frequency prints can dominate attention. The system therefore treats pattern descriptors as balancing elements in recommendation logic. Similarly, color extraction is treated as a bridge between machine perception and human styling language. Users reason in color terms, not pixel vectors; therefore, color must be represented in a format that supports harmony rules, seasonal interpretation, and readable explanation.</w:t>
      </w:r>
    </w:p>
    <w:p>
      <w:r>
        <w:t>Theoretical robustness also requires graceful degradation. In real deployments, high-compute perception can fail due to resource constraints. The system addresses this by preserving recommendation continuity even when perception confidence drops. Instead of terminating the pipeline, it falls back to conservative descriptors and continues interaction flow. This preserves usability and avoids brittle behavior during demonstrations or constrained deployment environments. In research terms, this is an example of resilience-oriented AI design, where continuity is prioritized alongside intelligence.</w:t>
      </w:r>
    </w:p>
    <w:p>
      <w:r>
        <w:rPr>
          <w:rFonts w:ascii="Times New Roman" w:hAnsi="Times New Roman"/>
          <w:b/>
          <w:sz w:val="26"/>
        </w:rPr>
        <w:t>7.5 Profile Intelligence and Personalized Suitability</w:t>
      </w:r>
    </w:p>
    <w:p>
      <w:r>
        <w:t>The profile intelligence layer translates user appearance and style context into recommendation priors. The core theoretical principle here is personalized suitability: a suggestion is considered high quality only when it aligns with the individual?s visual profile and situational intent. The system therefore does not rely on one universal style ranking. It uses profile cues to create a personalized relevance surface, where candidate garments receive higher or lower suitability depending on their relationship to the user profile.</w:t>
      </w:r>
    </w:p>
    <w:p>
      <w:r>
        <w:t>Profile signals include undertone orientation, season tendency, perceived contrast, and practical usage markers. These signals are interpreted as style constraints, not hard identity labels. For example, undertone is used to guide color bias, while contrast helps calibrate whether high-separation combinations are likely to feel natural or overly harsh. This distinction is important because style systems can become overly deterministic if profile signals are treated as strict classification endpoints. In this system, profile signals are used as weighted guidance so that user choice remains active and recommendations remain flexible.</w:t>
      </w:r>
    </w:p>
    <w:p>
      <w:r>
        <w:t>Another important aspect is explainability. A profile-driven system must communicate relevance in understandable terms; otherwise, personalization can feel arbitrary. The theoretical solution used here is transparent profile coupling: recommendations are generated through interpretable relationships between garment attributes and profile cues. This improves trust and supports research evaluation because recommendation behavior can be discussed in narrative form, such as seasonal alignment, contrast balance, and contextual fit, instead of only reporting model confidence numbers.</w:t>
      </w:r>
    </w:p>
    <w:p>
      <w:r>
        <w:rPr>
          <w:rFonts w:ascii="Times New Roman" w:hAnsi="Times New Roman"/>
          <w:b/>
          <w:sz w:val="26"/>
        </w:rPr>
        <w:t>7.6 Color Logic and Style Harmony Principles</w:t>
      </w:r>
    </w:p>
    <w:p>
      <w:r>
        <w:t>Color logic in the system is aligned with practical style harmony principles. Rather than treating color as a single scalar property, the system interprets color through relationships: warm versus cool tendency, depth versus lightness, and contrast versus neutrality. This relational perspective allows the system to move from color detection to color compatibility. A detected color value by itself is not meaningful unless it can be linked to user profile and combination context.</w:t>
      </w:r>
    </w:p>
    <w:p>
      <w:r>
        <w:t>The harmony model used by the system follows an applied balance philosophy. One dominant element can be paired with supportive elements to avoid visual overload. Neutral anchors can stabilize expressive pieces, while controlled contrast can improve clarity and emphasis. The recommendation process therefore does not simply maximize color similarity. It attempts to maintain a coherent visual narrative in which pieces support one another under occasion constraints. This is especially relevant in daily-use scenarios where recommendations should be wearable, not only visually interesting.</w:t>
      </w:r>
    </w:p>
    <w:p>
      <w:r>
        <w:t>Season-related compatibility acts as a profile-aware modulation layer in this color logic. Seasonal tendency is used to increase or decrease confidence in specific color directions, while still allowing variation. This prevents rigid, repetitive outputs and supports exploratory styling behavior. In research terms, this creates a balanced tension between personalization and diversity: recommendations remain identity-consistent without becoming predictable clones of previous outputs.</w:t>
      </w:r>
    </w:p>
    <w:p>
      <w:r>
        <w:rPr>
          <w:rFonts w:ascii="Times New Roman" w:hAnsi="Times New Roman"/>
          <w:b/>
          <w:sz w:val="26"/>
        </w:rPr>
        <w:t>7.7 Contextual Adaptation: Occasion, Weather, and Practicality</w:t>
      </w:r>
    </w:p>
    <w:p>
      <w:r>
        <w:t>Outfit quality is context-dependent. A theoretically strong matching system must account for the fact that the same combination can be excellent in one situation and weak in another. The system therefore integrates contextual adaptation as a central decision layer. Occasion type influences formality and structure expectations, while weather influences material suitability, comfort compatibility, and functional practicality.</w:t>
      </w:r>
    </w:p>
    <w:p>
      <w:r>
        <w:t>Occasion adaptation helps maintain social appropriateness. For example, suggestions meant for formal settings prioritize cleaner visual structure and coherent pairing, while casual contexts allow broader stylistic range. Weather adaptation introduces environmental intelligence. Heat context reduces preference for heavy layering, cold context increases tolerance for insulating fabrics, and wet conditions alter material desirability. These adjustments are not cosmetic; they materially improve acceptance probability because users evaluate recommendations through comfort and practicality as much as appearance.</w:t>
      </w:r>
    </w:p>
    <w:p>
      <w:r>
        <w:t>Context integration also serves research quality. By explicitly modeling context, recommendation outcomes become interpretable under scenario analysis. Researchers can evaluate whether outputs shift in meaningful ways when occasion or weather changes, which supports stronger experimental narratives than static recommendation models. In this system, contextual adaptation is therefore both a user-facing benefit and a methodological strength.</w:t>
      </w:r>
    </w:p>
    <w:p>
      <w:r>
        <w:rPr>
          <w:rFonts w:ascii="Times New Roman" w:hAnsi="Times New Roman"/>
          <w:b/>
          <w:sz w:val="26"/>
        </w:rPr>
        <w:t>7.8 Decision Strategy: Ranking, Diversity, and Reuse</w:t>
      </w:r>
    </w:p>
    <w:p>
      <w:r>
        <w:t>After candidate construction, the system enters decision strategy mode, where it must choose among many acceptable options. The theoretical challenge is balancing three goals at once: relevance to the current profile and context, diversity across repeated interactions, and reuse of underutilized items. A single deterministic strategy typically over-optimizes one of these goals and degrades the others over time. The system addresses this by combining weighted relevance with controlled stochasticity.</w:t>
      </w:r>
    </w:p>
    <w:p>
      <w:r>
        <w:t>Weighted relevance ensures that better-aligned items are favored. Diversity is preserved by probabilistic selection among high-quality candidates instead of always choosing the same top-ranked option. This mechanism is important for long-term engagement because users perceive repetitive recommendations as low intelligence even when those recommendations are technically valid. Controlled variability allows the system to remain fresh while staying inside suitability boundaries.</w:t>
      </w:r>
    </w:p>
    <w:p>
      <w:r>
        <w:t>Reuse-oriented reasoning is integrated through usage-aware prioritization. Items with low historical utilization relative to their value can receive additional priority, encouraging better lifecycle efficiency. This design aligns recommendation intelligence with sustainability intent. In practical terms, the system is not only matching for immediate visual quality but also guiding behavior toward better long-term resource use. This coupling between aesthetic logic and utilization logic is a defining theoretical characteristic of the system.</w:t>
      </w:r>
    </w:p>
    <w:p>
      <w:r>
        <w:rPr>
          <w:rFonts w:ascii="Times New Roman" w:hAnsi="Times New Roman"/>
          <w:b/>
          <w:sz w:val="26"/>
        </w:rPr>
        <w:t>7.9 Virtual Try-On (VTON) Pipeline: Theoretical Function</w:t>
      </w:r>
    </w:p>
    <w:p>
      <w:r>
        <w:t>The virtual try-on pipeline is included to bridge the gap between recommendation and confidence. Users often hesitate to adopt AI suggestions because they cannot imagine how a combination will appear on body context. The VTON stage addresses this by generating a visual preview of the selected combination before commitment. Theoretically, this stage functions as a perceptual validation layer: it reduces uncertainty by translating abstract recommendation into visible outcome.</w:t>
      </w:r>
    </w:p>
    <w:p>
      <w:r>
        <w:t>Conceptually, the VTON flow proceeds through preparation, synthesis, and delivery stages. In preparation, required visual assets are assembled and normalized for compatibility. In synthesis, selected garment cues are mapped onto user body context to generate a plausible composite. In delivery, the result is returned as a preview object that can be accepted, regenerated, or changed. This flow is intentionally interaction-friendly. It supports iterative trust building because users can compare recommendation intent with visual result and make informed decisions.</w:t>
      </w:r>
    </w:p>
    <w:p>
      <w:r>
        <w:t>The research value of VTON is twofold. First, it improves system acceptance by increasing perceived realism of AI output. Second, it creates an evaluable intermediate artifact for studies on user trust and decision quality. Instead of measuring recommendation success only through click behavior, researchers can analyze how preview fidelity affects acceptance, revision frequency, and final selection confidence. Thus, VTON is not only a feature; it is a methodological instrument for studying AI-assisted styling behavior.</w:t>
      </w:r>
    </w:p>
    <w:p>
      <w:r>
        <w:rPr>
          <w:rFonts w:ascii="Times New Roman" w:hAnsi="Times New Roman"/>
          <w:b/>
          <w:sz w:val="26"/>
        </w:rPr>
        <w:t>7.10 3D Avatar Pipeline: Theoretical Function</w:t>
      </w:r>
    </w:p>
    <w:p>
      <w:r>
        <w:t>The 3D avatar pipeline extends preview capability from static representation to spatial interaction. While 2D try-on is useful for quick plausibility checks, it can limit perception of fit dynamics and angle-based appearance. The 3D avatar layer provides an interactive viewing environment where users can inspect style output from multiple viewpoints. The theoretical role of this layer is embodied visualization: recommendations become spatially interpretable rather than flat composites.</w:t>
      </w:r>
    </w:p>
    <w:p>
      <w:r>
        <w:t>The avatar flow follows a display-centered pipeline. A prepared avatar model is loaded, camera controls expose front and side perspectives, and outfit context is presented through interactive controls. The objective is not photorealistic simulation at any cost; rather, it is decision support through viewpoint flexibility. Users can evaluate silhouette behavior, visual balance across angles, and relative layering impressions in a way that static imagery cannot fully provide.</w:t>
      </w:r>
    </w:p>
    <w:p>
      <w:r>
        <w:t>From a research standpoint, the 3D pipeline strengthens experiential evaluation. It allows studies on whether interactive viewing changes confidence, reduces post-selection regret, and improves perceived control over AI recommendations. For a prototype intended for demonstration and academic reporting, this layer also communicates design maturity: the system does not stop at algorithmic matching but advances into immersive decision support. In short, the avatar path is included because it improves both practical usability and research richness.</w:t>
      </w:r>
    </w:p>
    <w:p>
      <w:r>
        <w:rPr>
          <w:rFonts w:ascii="Times New Roman" w:hAnsi="Times New Roman"/>
          <w:b/>
          <w:sz w:val="26"/>
        </w:rPr>
        <w:t>7.11 Coordination Between Matching, VTON, and 3D Visualization</w:t>
      </w:r>
    </w:p>
    <w:p>
      <w:r>
        <w:t>A key design principle in the system is orchestration: recommendation, try-on, and 3D visualization are connected as a continuous decision journey rather than isolated modules. The user receives a recommendation, optionally freezes or customizes pieces, requests visual try-on, and can then inspect results in an interactive avatar view. This sequence mirrors natural human decision progression from idea to confirmation.</w:t>
      </w:r>
    </w:p>
    <w:p>
      <w:r>
        <w:t>The theoretical benefit of this orchestration is reduction of decision friction. If these stages were disconnected, users would repeatedly re-enter context and lose continuity. By keeping them connected, the system preserves intent across interactions. It also allows confidence to increase gradually: recommendation provides guidance, VTON provides plausibility, and 3D view provides spatial reassurance. This layered confidence model is particularly effective in touch-screen scenarios where immediate feedback and continuity strongly influence usability.</w:t>
      </w:r>
    </w:p>
    <w:p>
      <w:r>
        <w:t>For research documentation, orchestration also improves traceability. Each user action corresponds to a stage transition that can be evaluated in future analytics: recommendation acceptance, customization frequency, try-on request rate, and final save behavior. Therefore, orchestration is not only UX strategy; it is a structured framework for behavioral interpretation and iterative refinement.</w:t>
      </w:r>
    </w:p>
    <w:p>
      <w:r>
        <w:rPr>
          <w:rFonts w:ascii="Times New Roman" w:hAnsi="Times New Roman"/>
          <w:b/>
          <w:sz w:val="26"/>
        </w:rPr>
        <w:t>7.12 Why the Selected Services Were Chosen</w:t>
      </w:r>
    </w:p>
    <w:p>
      <w:r>
        <w:t>Service selection in this project followed a principle of practical research engineering: choose tools that are sufficiently capable for meaningful AI behavior, but interpretable and maintainable enough for academic reporting and prototype operations. The project avoided unnecessarily complex stacks that would increase operational burden without proportionate research benefit.</w:t>
      </w:r>
    </w:p>
    <w:p>
      <w:r>
        <w:t>A Python-based backend service was selected because it provides a mature environment for computer vision, model inference integration, and data-centric workflow control. This choice supports rapid experimentation and aligns with the broader AI tooling ecosystem. A component-based web interface framework was selected on the client side because the system requires dynamic, stateful interaction across recommendation, try-on, and scheduling screens. Fast bundling and hot iteration were prioritized to support design-heavy refinement cycles.</w:t>
      </w:r>
    </w:p>
    <w:p>
      <w:r>
        <w:t>For visual AI tasks, the stack includes lightweight image processing, semantic perception models, and optional background separation. These choices were made to ensure that garment assets become usable for downstream matching without heavy manual preprocessing. For contextual intelligence, an external weather service was selected because weather is a high-impact variable in clothing decisions and cannot be reliably approximated from static local settings. For deployment, a container-first approach was selected to reduce environment mismatch and improve reproducibility across local and hosted demonstrations.</w:t>
      </w:r>
    </w:p>
    <w:p>
      <w:r>
        <w:rPr>
          <w:rFonts w:ascii="Times New Roman" w:hAnsi="Times New Roman"/>
          <w:b/>
          <w:sz w:val="26"/>
        </w:rPr>
        <w:t>7.13 Service Rationale by Function (Non-Technical View)</w:t>
      </w:r>
    </w:p>
    <w:p>
      <w:r>
        <w:t>The system uses a set of supporting services, each selected for a clear reason tied to user value and prototype constraints. First, the application service layer was selected for stability, rapid iteration, and clean integration with data models. This supports consistent behavior during demonstrations and reduces integration risk as features evolve.</w:t>
      </w:r>
    </w:p>
    <w:p>
      <w:r>
        <w:t>Second, visual inference and image utility services were selected because the project requires practical perception outcomes rather than benchmark-only research outputs. Garment understanding, color extraction, and image cleanup are foundational to recommendation quality, so services in this layer were chosen for reliability, compatibility with available compute, and broad community support.</w:t>
      </w:r>
    </w:p>
    <w:p>
      <w:r>
        <w:t>Third, the virtual generation service was selected to provide convincing preview capability without building a large in-house generative infrastructure from scratch. This decision is strategic for a prototype phase: it allows the research team to focus on decision logic and user experience while still delivering high-impact visual output. Fourth, a geoclimatic context service was selected because weather-aware recommendations significantly increase realism and acceptance in daily scenarios.</w:t>
      </w:r>
    </w:p>
    <w:p>
      <w:r>
        <w:t>Fifth, deployment and static delivery services were chosen for operational simplicity, reproducible builds, and manageable hosting workflow. In a final-year research context, deployment reliability is as important as model intelligence because evaluation and showcasing depend on stable accessibility. Collectively, these service choices form a coherent ecosystem where each component contributes directly to system goals and presentation readiness.</w:t>
      </w:r>
    </w:p>
    <w:p>
      <w:r>
        <w:rPr>
          <w:rFonts w:ascii="Times New Roman" w:hAnsi="Times New Roman"/>
          <w:b/>
          <w:sz w:val="26"/>
        </w:rPr>
        <w:t>7.14 Why These Choices Fit a Prototype Research Context</w:t>
      </w:r>
    </w:p>
    <w:p>
      <w:r>
        <w:t>A research prototype must satisfy two competing demands: it should be advanced enough to demonstrate meaningful innovation, and stable enough to survive repeated demonstrations, data resets, and environment changes. The chosen stack and service strategy reflect this balance. High-value intelligence paths are included where they change user perception and decision quality, while non-essential complexity is intentionally avoided.</w:t>
      </w:r>
    </w:p>
    <w:p>
      <w:r>
        <w:t>This balance is visible in the way the system handles uncertainty. Instead of failing when a high-cost service is temporarily unavailable, the architecture supports graceful fallback behavior. This allows the system to continue offering recommendations and interaction flow even under constrained infrastructure conditions. From a research perspective, this is valuable because experiments and demos can proceed without complete dependency on every advanced service path at every moment.</w:t>
      </w:r>
    </w:p>
    <w:p>
      <w:r>
        <w:t>Another prototype-specific strength is modular substitutability. Because the project is organized by functional layers, services can be swapped in future work without redesigning the entire user experience. For example, future versions can replace current perception or generation services with improved models while preserving the same interaction narrative. This forward compatibility makes the current system a strong baseline for iterative publication-oriented development.</w:t>
      </w:r>
    </w:p>
    <w:p>
      <w:r>
        <w:rPr>
          <w:rFonts w:ascii="Times New Roman" w:hAnsi="Times New Roman"/>
          <w:b/>
          <w:sz w:val="26"/>
        </w:rPr>
        <w:t>7.15 Limitations, Future Directions, and Chapter Conclusion</w:t>
      </w:r>
    </w:p>
    <w:p>
      <w:r>
        <w:t>The present AI logic is intentionally practical and interpretable, but several research opportunities remain open. Personal style modeling can be expanded beyond current profile cues into long-term preference memory, occasion-specific adaptation can become more granular, and visual plausibility in try-on and avatar outputs can be enhanced with richer geometry and fabric behavior models. These directions can increase recommendation fidelity while preserving the human-in-the-loop philosophy established in this chapter.</w:t>
      </w:r>
    </w:p>
    <w:p>
      <w:r>
        <w:t>Service evolution is another natural direction. As infrastructure capacity increases, the system can incorporate stronger generative pathways, deeper multimodal understanding, and improved context signals while retaining fallback robustness for operational continuity. In parallel, evaluation methodology can be expanded to include controlled user studies on trust, satisfaction, acceptance latency, and sustainability behavior change over time. Such evaluation can transform the system from a successful prototype into a quantitatively validated decision-support platform.</w:t>
      </w:r>
    </w:p>
    <w:p>
      <w:r>
        <w:t>In conclusion, the AI styling system is built on a coherent theoretical foundation: semantic perception for garment understanding, profile-grounded personalization for suitability, context-aware ranking for practical relevance, and visual validation through virtual try-on and 3D avatar inspection. The selected services were chosen not for novelty alone, but for their strategic fit with prototype goals, research clarity, and real-world demonstrability. This makes the system academically defensible, practically useful, and ready for further research-grade refinement.</w:t>
      </w:r>
    </w:p>
    <w:p>
      <w:r>
        <w:rPr>
          <w:rFonts w:ascii="Times New Roman" w:hAnsi="Times New Roman"/>
          <w:b/>
          <w:sz w:val="26"/>
        </w:rPr>
        <w:t>7.16 Governance Logic: Human Control, System Control, and Safe Autonomy</w:t>
      </w:r>
    </w:p>
    <w:p>
      <w:r>
        <w:t>A core theoretical decision in this project is governance partitioning. The system is allowed to automate recommendation and preview generation, but final authority remains with the user. This partition avoids a common failure in AI-driven style platforms: over-automation that feels intrusive or prescriptive. In this system, autonomy is bounded by interaction points where users can freeze items, replace components, regenerate outputs, switch view modes, or defer decisions entirely. The resulting interaction model can be described as safe autonomy: the system moves quickly, but never beyond user override.</w:t>
      </w:r>
    </w:p>
    <w:p>
      <w:r>
        <w:t>Governance partitioning also contributes to reliability under uncertain inference quality. Visual AI can be highly useful while still being imperfect under difficult images, unusual garments, or sparse profile inputs. By keeping explicit user checkpoints in the pipeline, the platform avoids cascading incorrect assumptions into irreversible actions. Recommendation becomes a proposal, not a command. VTON becomes a confidence aid, not a final truth. Avatar view becomes a reflective tool, not a deterministic fit guarantee. This layered framing is theoretically important because it aligns AI output with the uncertainty profile of real-world visual inference.</w:t>
      </w:r>
    </w:p>
    <w:p>
      <w:r>
        <w:t>From an academic perspective, this governance logic supports responsible AI interpretation. The system can be evaluated not only for output quality, but also for decision dignity: whether users retain meaningful control over appearance-related decisions. In personal styling contexts, this is critical. Clothing carries social and identity significance, so systems should assist without overriding agency. The present architecture addresses this requirement by design. It provides guidance, visual validation, and context-aware ranking while preserving user sovereignty at each consequential step.</w:t>
      </w:r>
    </w:p>
    <w:p>
      <w:r>
        <w:rPr>
          <w:rFonts w:ascii="Times New Roman" w:hAnsi="Times New Roman"/>
          <w:b/>
          <w:sz w:val="26"/>
        </w:rPr>
        <w:t>7.17 Touch-First Interaction Logic and Device-Constrained Design</w:t>
      </w:r>
    </w:p>
    <w:p>
      <w:r>
        <w:t>The project is intended for tablet-class touch interaction, and this hardware context shapes AI presentation strategy. In touch-first environments, users rely on immediate visual cues, larger action targets, and low-friction transitions. Therefore, the AI system is not only evaluated by recommendation intelligence but by how fluently that intelligence is delivered through touch-friendly interaction primitives. This is why the interface architecture favors card-based decisions, direct-tap controls, persistent bottom navigation, and modal customization patterns that minimize cognitive switching.</w:t>
      </w:r>
    </w:p>
    <w:p>
      <w:r>
        <w:t>This touch-first logic also influences the way matching outputs are sequenced. Information is layered progressively: primary recommendation first, optional detail next, then visual validation, then scheduling. The interface avoids dense analytical panels during core decision flow because such panels increase visual load on medium-sized screens. Instead, the system emphasizes actionable clarity: what is suggested, why it is suitable at a high level, and what the user can do next. This aligns with interaction theory for assistive interfaces, where comprehension speed and reversible decisions matter more than exhaustive simultaneous detail.</w:t>
      </w:r>
    </w:p>
    <w:p>
      <w:r>
        <w:t>Theoretical consistency is maintained between AI logic and interaction logic. When recommendation confidence is high, users still receive simple override paths. When recommendation confidence is uncertain, users are offered richer exploration (custom selection, try-on, angle view) rather than forced acceptance. This adaptive interaction pattern strengthens trust because users experience the system as cooperative rather than rigid. For a research prototype, this is highly valuable: it demonstrates that AI quality is inseparable from delivery quality, especially on constrained devices where interaction design directly mediates perceived intelligence.</w:t>
      </w:r>
    </w:p>
    <w:p>
      <w:r>
        <w:rPr>
          <w:rFonts w:ascii="Times New Roman" w:hAnsi="Times New Roman"/>
          <w:b/>
          <w:sz w:val="26"/>
        </w:rPr>
        <w:t>7.18 Perceived Realism in VTON and 3D: Why It Matters for Decision Quality</w:t>
      </w:r>
    </w:p>
    <w:p>
      <w:r>
        <w:t>In theory, recommendation quality and visual realism are distinct dimensions. A recommendation may be logically appropriate while still being rejected if preview realism is low. The project addresses this by treating realism as a decision-quality multiplier. VTON and 3D avatar modules are therefore integrated not as decorative enhancements, but as cognitive bridges between abstract suggestion and embodied expectation. When users can see a convincing approximation of outcome, they evaluate suggestions more confidently and make faster, more consistent decisions.</w:t>
      </w:r>
    </w:p>
    <w:p>
      <w:r>
        <w:t>Perceived realism is also linked to trust calibration. If previews look implausible, users may distrust even correct recommendations. If previews are clear and coherent, users can better separate model utility from model limits. The system intentionally communicates this balance: previews are supportive approximations, not perfect guarantees. This framing prevents overclaiming while preserving utility. It also opens a strong research direction around calibration studies, where one can examine how different levels of preview fidelity influence acceptance rates, revision behavior, and long-term engagement with AI-guided styling.</w:t>
      </w:r>
    </w:p>
    <w:p>
      <w:r>
        <w:t>The 3D layer contributes a further dimension: viewpoint-dependent confidence. Static front-view imagery may hide proportion or silhouette concerns that become visible from side or angled views. By allowing interactive viewpoint inspection, the system reduces ambiguity before final save actions. In effect, the platform moves from ?recommend and hope? toward ?recommend, visualize, and verify.? This verification paradigm is one of the most important theoretical strengths of the pipeline because it aligns system behavior with human decision psychology: people commit more readily when they can inspect alternatives from multiple perspectives.</w:t>
      </w:r>
    </w:p>
    <w:p>
      <w:r>
        <w:rPr>
          <w:rFonts w:ascii="Times New Roman" w:hAnsi="Times New Roman"/>
          <w:b/>
          <w:sz w:val="26"/>
        </w:rPr>
        <w:t>7.19 Sustainability-Coupled Recommendation as Behavioral Design</w:t>
      </w:r>
    </w:p>
    <w:p>
      <w:r>
        <w:t>A distinctive property of the system is that recommendation logic is behavior-coupled rather than purely aesthetic. In many digital styling products, recommendations optimize novelty, trend conformity, or short-term engagement. In this system, the recommendation philosophy includes utilization intelligence: underused but suitable items can be surfaced to improve lifecycle value and reduce repetitive consumption patterns. This transforms the AI engine from a style suggestion mechanism into a subtle behavior design system.</w:t>
      </w:r>
    </w:p>
    <w:p>
      <w:r>
        <w:t>The theoretical contribution here is the fusion of personal relevance and responsible reuse. Recommendations still respect profile, context, and visual harmony, but they additionally account for practical reuse dynamics. This means the system can support a broader sustainability narrative without forcing users into moralistic flows. The behavioral signal is embedded in recommendation priorities and supporting explanations, so users experience sustainability as actionable convenience rather than external lecture. This is important for adoption because behavior change is stronger when aligned with user benefit, not positioned as pure compliance.</w:t>
      </w:r>
    </w:p>
    <w:p>
      <w:r>
        <w:t>For research writing, this coupling offers a strong interdisciplinary bridge between AI interaction design and sustainable consumption studies. It enables future experiments on whether usage-aware recommendations can shift wear patterns over time, how explanation tone affects acceptance, and whether visual validation amplifies sustainable choices. Because the system already links recommendation, preview, and scheduling, it is well-positioned for longitudinal behavioral analysis. Therefore, sustainability in this project is not a separate dashboard theme; it is embedded into the logic of how suggestions are generated and acted upon.</w:t>
      </w:r>
    </w:p>
    <w:p>
      <w:r>
        <w:rPr>
          <w:rFonts w:ascii="Times New Roman" w:hAnsi="Times New Roman"/>
          <w:b/>
          <w:sz w:val="26"/>
        </w:rPr>
        <w:t>7.20 Research Significance, Transferability, and Future Expansion Path</w:t>
      </w:r>
    </w:p>
    <w:p>
      <w:r>
        <w:t>The AI styling pipeline documented in this chapter has significance beyond a single application context. Its layered architecture demonstrates a transferable pattern for human-centered recommendation systems in domains where identity, context, and visual confidence intersect. The core pattern can be summarized as: semantic understanding, profile grounding, context adaptation, guided selection, and visual verification. This pattern can be adapted to adjacent domains such as assisted shopping, digital merchandising, and personalized catalog curation, provided the same transparency-first design philosophy is maintained.</w:t>
      </w:r>
    </w:p>
    <w:p>
      <w:r>
        <w:t>Another research strength is methodological clarity. Because each stage has a clear conceptual role, the system supports modular experimentation. Researchers can test alternative garment understanding models without rewriting interaction flow, compare different profile strategies without changing VTON behavior, and evaluate presentation effects independently from ranking mechanics. This modularity is a major advantage for academic progression because it supports controlled ablation studies and incremental publication pathways.</w:t>
      </w:r>
    </w:p>
    <w:p>
      <w:r>
        <w:t>Future expansion can proceed along three lines. The first is intelligence depth: richer preference memory, adaptive thresholds, and multi-objective ranking that better balances novelty, comfort, and sustainability. The second is visual fidelity: improved garment drape realism, better body-geometry alignment, and richer lighting consistency in generated previews. The third is evaluation rigor: structured user studies, trust calibration experiments, and longitudinal behavior tracking under different explanation styles. With these directions, the present system functions as a robust foundation for continued research rather than a static endpoint.</w:t>
      </w:r>
    </w:p>
    <w:p>
      <w:r>
        <w:rPr>
          <w:rFonts w:ascii="Times New Roman" w:hAnsi="Times New Roman"/>
          <w:b/>
          <w:sz w:val="26"/>
        </w:rPr>
        <w:t>7.21 Final Integrative Conclusion</w:t>
      </w:r>
    </w:p>
    <w:p>
      <w:r>
        <w:t>This chapter has presented the theoretical logic behind the AI system in a non-code, research-oriented format. The system is built on a coherent design philosophy: assistive intelligence over opaque automation, personalization over generic scoring, context relevance over static matching, and visual validation over abstract output. The VTON and 3D avatar paths are integrated as decision-confidence mechanisms, while service choices are justified by practical fit, reliability, and prototype-stage research value. Together, these elements form a complete AI interaction pipeline that is interpretable, demonstrable, and expandable for advanced academic work.</w:t>
      </w:r>
    </w:p>
    <w:p>
      <w:r>
        <w:rPr>
          <w:rFonts w:ascii="Times New Roman" w:hAnsi="Times New Roman"/>
          <w:b/>
          <w:sz w:val="26"/>
        </w:rPr>
        <w:t>7.22 Extended Service Justification for Research and Demonstration Contexts</w:t>
      </w:r>
    </w:p>
    <w:p>
      <w:r>
        <w:t>Because this chapter also needs to clarify service selection logic, this section presents a rationale-focused overview of the major services used across the system journey. The first service cluster is the core application layer. A mature web application framework was selected because the project requires secure authentication, structured data modeling, admin control, and predictable request-response behavior. In a research prototype, these qualities are critical: unstable platform behavior can invalidate user studies and interrupt demonstration sessions. The chosen framework also supports straightforward integration with AI-oriented Python libraries, allowing the intelligence layer and business layer to remain in one coherent environment.</w:t>
      </w:r>
    </w:p>
    <w:p>
      <w:r>
        <w:t>The second service cluster is interface and interaction delivery. A component-driven frontend approach was selected because the project contains many state transitions: onboarding, recommendation, customization, try-on request, result viewing, scheduling, and settings updates. This interaction density is difficult to manage in static page paradigms. The chosen interface stack provides modular screen composition and rapid iteration, which is important when UX tuning is frequent. For a dissertation-grade prototype, iteration speed has direct value because visual and interaction refinements often continue in parallel with writing and evaluation.</w:t>
      </w:r>
    </w:p>
    <w:p>
      <w:r>
        <w:t>The third service cluster is media and visual processing. Image utility services were chosen to handle resizing, normalization, and practical preprocessing so that user-uploaded photos become usable inputs for downstream styling logic. This choice avoids excessive manual intervention and makes the user journey more realistic. A background-cleanup service was selected because inconsistent image backgrounds reduce visual coherence in recommendation previews and can degrade user confidence. Even when not perfect, this preprocessing step significantly improves the readability of garment assets and therefore improves perceived system quality in demonstrations.</w:t>
      </w:r>
    </w:p>
    <w:p>
      <w:r>
        <w:t>The fourth service cluster is semantic visual intelligence. A flexible image understanding service was chosen because the system must interpret diverse garment photos captured under non-laboratory conditions. The objective in this project is not perfect taxonomy classification; it is actionable descriptor extraction for matching decisions. Therefore, a service capable of broad semantic interpretation with controlled label framing is appropriate. This reduces annotation burden while still producing useful style descriptors. For research documentation, this also supports traceable logic: labels map clearly to recommendation decisions.</w:t>
      </w:r>
    </w:p>
    <w:p>
      <w:r>
        <w:t>The fifth service cluster is virtual try-on generation. A dedicated generation service was selected because implementing full generative modeling in-house would demand substantial infrastructure and model operations overhead beyond prototype scope. By using a specialized generation path, the project can deliver strong visual value without sacrificing timeline feasibility. This is an explicit research tradeoff: prioritize integration and evaluation of decision flow rather than training-heavy model development. The resulting architecture remains valid for academic work because the research contribution lies in orchestration, user-facing intelligence, and explainable decision pathways.</w:t>
      </w:r>
    </w:p>
    <w:p>
      <w:r>
        <w:t>The sixth service cluster is contextual intelligence. A weather information service was selected to align recommendations with real-world conditions. This choice is justified because clothing decisions are highly weather-sensitive in daily life. Without environmental context, even aesthetically strong recommendations can become impractical. Context service integration therefore improves ecological validity of outputs. It also supports research realism: recommendation quality can be analyzed under changing environmental scenarios rather than under static assumptions.</w:t>
      </w:r>
    </w:p>
    <w:p>
      <w:r>
        <w:t>The seventh service cluster is deployment and operations. Containerized deployment was selected to reduce environment mismatch, improve reproducibility, and simplify demonstration readiness. In an academic prototype, reproducibility is not only a technical concern but a methodological one. If the system behaves differently across local and hosted environments, interpretation of results becomes unreliable. A container-based workflow helps preserve consistency in dependencies and startup behavior. Complementary runtime services for serving static assets and handling process management were chosen for stability and low operational friction.</w:t>
      </w:r>
    </w:p>
    <w:p>
      <w:r>
        <w:t>Overall, service selection in this project follows an alignment principle: each service must map to at least one of four core goals?intelligence quality, user trust, research clarity, or operational reliability. This alignment ensures that architecture growth remains purposeful. Services are not included for trend value; they are included because they support the project?s research and demonstration objectives under realistic constraints of time, compute, and maintainability.</w:t>
      </w:r>
    </w:p>
    <w:p>
      <w:r>
        <w:rPr>
          <w:rFonts w:ascii="Times New Roman" w:hAnsi="Times New Roman"/>
          <w:b/>
          <w:sz w:val="26"/>
        </w:rPr>
        <w:t>Appendix A: Service Selection Summary (Rationale-Focused)</w:t>
      </w:r>
    </w:p>
    <w:p>
      <w:r>
        <w:t>Application framework service was chosen for strong data modeling, secure authentication flow, and mature ecosystem support for AI-adjacent workloads. Interface framework service was chosen for responsive screen transitions, reusable components, and smooth touch interaction on tablet-oriented displays. Image utility services were chosen because they convert raw user media into recommendation-ready assets with minimal manual effort.</w:t>
      </w:r>
    </w:p>
    <w:p>
      <w:r>
        <w:t>Semantic perception services were chosen to provide flexible label understanding from diverse garment photos. Generative try-on service was chosen to rapidly provide high-impact visual previews suitable for user validation. Avatar visualization service was chosen to add multi-angle inspection and improve user confidence in final decisions. Weather context service was chosen to anchor recommendations in environmental reality. Containerized deployment service was chosen for reproducible delivery, simplified hosting workflow, and easier recovery during prototype iteration cycles.</w:t>
      </w:r>
    </w:p>
    <w:p>
      <w:r>
        <w:t>Together, these services form a practical, research-ready stack where each selected component supports at least one primary objective: recommendation quality, user trust, demonstrability, or operational reliability. This alignment between service choice and system objective is the central justification for the architecture documented in this chapter.</w:t>
      </w:r>
    </w:p>
    <w:p>
      <w:r>
        <w:br w:type="page"/>
      </w:r>
    </w:p>
    <w:p>
      <w:r>
        <w:rPr>
          <w:rFonts w:ascii="Times New Roman" w:hAnsi="Times New Roman"/>
          <w:b/>
          <w:sz w:val="28"/>
        </w:rPr>
        <w:t>References</w:t>
      </w:r>
    </w:p>
    <w:p>
      <w:r>
        <w:rPr>
          <w:rFonts w:ascii="Times New Roman" w:hAnsi="Times New Roman"/>
          <w:sz w:val="24"/>
        </w:rPr>
        <w:t>Choi, S., Park, S., Lee, M., &amp; Choo, J. (2021). VITON-HD: High-resolution virtual try-on via misalignment-aware normalization. Proceedings of the IEEE/CVF Conference on Computer Vision and Pattern Recognition (CVPR). https://openaccess.thecvf.com/content/CVPR2021/html/Choi_VITON-HD_High-Resolution_Virtual_Try-On_via_Misalignment-Aware_Normalization_CVPR_2021_paper.html</w:t>
      </w:r>
    </w:p>
    <w:p>
      <w:r>
        <w:rPr>
          <w:rFonts w:ascii="Times New Roman" w:hAnsi="Times New Roman"/>
          <w:sz w:val="24"/>
        </w:rPr>
        <w:t>Docker Inc. (n.d.). Docker Documentation. Retrieved March 27, 2026, from https://docs.docker.com/</w:t>
      </w:r>
    </w:p>
    <w:p>
      <w:r>
        <w:rPr>
          <w:rFonts w:ascii="Times New Roman" w:hAnsi="Times New Roman"/>
          <w:sz w:val="24"/>
        </w:rPr>
        <w:t>Django Software Foundation. (n.d.). Django Documentation. Retrieved March 27, 2026, from https://docs.djangoproject.com/</w:t>
      </w:r>
    </w:p>
    <w:p>
      <w:r>
        <w:rPr>
          <w:rFonts w:ascii="Times New Roman" w:hAnsi="Times New Roman"/>
          <w:sz w:val="24"/>
        </w:rPr>
        <w:t>Han, X., Wu, Z., Wu, Z., Yu, R., &amp; Davis, L. S. (2018). VITON: An image-based virtual try-on network. Proceedings of the IEEE Conference on Computer Vision and Pattern Recognition (CVPR). https://openaccess.thecvf.com/content_cvpr_2018/html/Han_VITON_An_Image-Based_CVPR_2018_paper.html</w:t>
      </w:r>
    </w:p>
    <w:p>
      <w:r>
        <w:rPr>
          <w:rFonts w:ascii="Times New Roman" w:hAnsi="Times New Roman"/>
          <w:sz w:val="24"/>
        </w:rPr>
        <w:t>Hugging Face. (n.d.). Transformers Documentation. Retrieved March 27, 2026, from https://huggingface.co/docs/transformers/</w:t>
      </w:r>
    </w:p>
    <w:p>
      <w:r>
        <w:rPr>
          <w:rFonts w:ascii="Times New Roman" w:hAnsi="Times New Roman"/>
          <w:sz w:val="24"/>
        </w:rPr>
        <w:t>Iiyama, M., &amp; Yamaguchi, K. (2021). Virtual try-on with controllable pseudo-shadow and lighting. Proceedings of the IEEE/CVF International Conference on Computer Vision (ICCV). https://openaccess.thecvf.com/content/ICCV2021/html/Iiyama_Virtual_Try-On_With_Controllable_Pseudo-Shadow_and_Lighting_ICCV_2021_paper.html</w:t>
      </w:r>
    </w:p>
    <w:p>
      <w:r>
        <w:rPr>
          <w:rFonts w:ascii="Times New Roman" w:hAnsi="Times New Roman"/>
          <w:sz w:val="24"/>
        </w:rPr>
        <w:t>Khronos Group. (n.d.). glTF: Runtime 3D Asset Delivery Format. Retrieved March 27, 2026, from https://www.khronos.org/gltf/</w:t>
      </w:r>
    </w:p>
    <w:p>
      <w:r>
        <w:rPr>
          <w:rFonts w:ascii="Times New Roman" w:hAnsi="Times New Roman"/>
          <w:sz w:val="24"/>
        </w:rPr>
        <w:t>Liu, S., Feng, J., Song, Z., Zhang, T., Lu, H., Xu, C., &amp; Yan, S. (2012). Hi, magic closet, tell me what to wear! Proceedings of the 20th ACM International Conference on Multimedia, 619-628. https://doi.org/10.1145/2393347.2393433</w:t>
      </w:r>
    </w:p>
    <w:p>
      <w:r>
        <w:rPr>
          <w:rFonts w:ascii="Times New Roman" w:hAnsi="Times New Roman"/>
          <w:sz w:val="24"/>
        </w:rPr>
        <w:t>Miller, T. (2019). Explanation in artificial intelligence: Insights from the social sciences. Artificial Intelligence, 267, 1-38. https://doi.org/10.1016/j.artint.2018.07.007</w:t>
      </w:r>
    </w:p>
    <w:p>
      <w:r>
        <w:rPr>
          <w:rFonts w:ascii="Times New Roman" w:hAnsi="Times New Roman"/>
          <w:sz w:val="24"/>
        </w:rPr>
        <w:t>Numan321. (n.d.). rembg: Remove image backgrounds. GitHub. Retrieved March 27, 2026, from https://github.com/danielgatis/rembg</w:t>
      </w:r>
    </w:p>
    <w:p>
      <w:r>
        <w:rPr>
          <w:rFonts w:ascii="Times New Roman" w:hAnsi="Times New Roman"/>
          <w:sz w:val="24"/>
        </w:rPr>
        <w:t>ONNX Runtime Team. (n.d.). ONNX Runtime Documentation. Retrieved March 27, 2026, from https://onnxruntime.ai/docs/</w:t>
      </w:r>
    </w:p>
    <w:p>
      <w:r>
        <w:rPr>
          <w:rFonts w:ascii="Times New Roman" w:hAnsi="Times New Roman"/>
          <w:sz w:val="24"/>
        </w:rPr>
        <w:t>OpenWeather. (n.d.). OpenWeather API Documentation. Retrieved March 27, 2026, from https://openweathermap.org/api</w:t>
      </w:r>
    </w:p>
    <w:p>
      <w:r>
        <w:rPr>
          <w:rFonts w:ascii="Times New Roman" w:hAnsi="Times New Roman"/>
          <w:sz w:val="24"/>
        </w:rPr>
        <w:t>Radford, A., Kim, J. W., Hallacy, C., Ramesh, A., Goh, G., Agarwal, S., Sastry, G., Askell, A., Mishkin, P., Clark, J., Krueger, G., &amp; Sutskever, I. (2021). Learning transferable visual models from natural language supervision. Proceedings of Machine Learning Research, 139, 8748-8763. https://proceedings.mlr.press/v139/radford21a.html</w:t>
      </w:r>
    </w:p>
    <w:p>
      <w:r>
        <w:rPr>
          <w:rFonts w:ascii="Times New Roman" w:hAnsi="Times New Roman"/>
          <w:sz w:val="24"/>
        </w:rPr>
        <w:t>React Team. (n.d.). React Documentation. Retrieved March 27, 2026, from https://react.dev/</w:t>
      </w:r>
    </w:p>
    <w:p>
      <w:r>
        <w:rPr>
          <w:rFonts w:ascii="Times New Roman" w:hAnsi="Times New Roman"/>
          <w:sz w:val="24"/>
        </w:rPr>
        <w:t>Replicate, Inc. (n.d.). Replicate Documentation. Retrieved March 27, 2026, from https://replicate.com/docs</w:t>
      </w:r>
    </w:p>
    <w:p>
      <w:r>
        <w:rPr>
          <w:rFonts w:ascii="Times New Roman" w:hAnsi="Times New Roman"/>
          <w:sz w:val="24"/>
        </w:rPr>
        <w:t>Ribeiro, M. T., Singh, S., &amp; Guestrin, C. (2016). "Why should I trust you?" Explaining the predictions of any classifier. Proceedings of the 22nd ACM SIGKDD International Conference on Knowledge Discovery and Data Mining, 1135-1144. https://doi.org/10.1145/2939672.2939778</w:t>
      </w:r>
    </w:p>
    <w:p>
      <w:r>
        <w:rPr>
          <w:rFonts w:ascii="Times New Roman" w:hAnsi="Times New Roman"/>
          <w:sz w:val="24"/>
        </w:rPr>
        <w:t>Schein, A. I., Popescul, A., Ungar, L. H., &amp; Pennock, D. M. (2002). Methods and metrics for cold-start recommendations. Proceedings of the 25th Annual International ACM SIGIR Conference, 253-260. https://doi.org/10.1145/564376.564421</w:t>
      </w:r>
    </w:p>
    <w:p>
      <w:r>
        <w:rPr>
          <w:rFonts w:ascii="Times New Roman" w:hAnsi="Times New Roman"/>
          <w:sz w:val="24"/>
        </w:rPr>
        <w:t>Tintarev, N., &amp; Masthoff, J. (2012). Evaluating the effectiveness of explanations for recommender systems. User Modeling and User-Adapted Interaction, 22(4-5), 399-439. https://doi.org/10.1007/s11257-011-9117-5</w:t>
      </w:r>
    </w:p>
    <w:p>
      <w:r>
        <w:rPr>
          <w:rFonts w:ascii="Times New Roman" w:hAnsi="Times New Roman"/>
          <w:sz w:val="24"/>
        </w:rPr>
        <w:t>Vite Team. (n.d.). Vite Documentation. Retrieved March 27, 2026, from https://vite.dev/guide/</w:t>
      </w:r>
    </w:p>
    <w:p>
      <w:r>
        <w:rPr>
          <w:rFonts w:ascii="Times New Roman" w:hAnsi="Times New Roman"/>
          <w:sz w:val="24"/>
        </w:rPr>
        <w:t>WhiteNoise Software Foundation. (n.d.). WhiteNoise Documentation. Retrieved March 27, 2026, from https://whitenoise.readthedocs.io/</w:t>
      </w:r>
    </w:p>
    <w:p>
      <w:r>
        <w:rPr>
          <w:rFonts w:ascii="Times New Roman" w:hAnsi="Times New Roman"/>
          <w:sz w:val="24"/>
        </w:rPr>
        <w:t>Google. (n.d.). &lt;model-viewer&gt; Documentation. Retrieved March 27, 2026, from https://modelviewer.dev/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