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72F41">
      <w:pPr>
        <w:pStyle w:val="2"/>
      </w:pPr>
      <w:r>
        <w:t>Competitive Analysis of Nonprofit Donation Platforms</w:t>
      </w:r>
    </w:p>
    <w:p w14:paraId="47D3272A">
      <w:r>
        <w:t>This document provides a competitive analysis of four nonprofit websites from a donation and engagement design perspective: Idealist (VolunteerMatch), St. Jude’s, World Wildlife Fund (WWF), and Save the Children.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98"/>
        <w:gridCol w:w="1728"/>
        <w:gridCol w:w="1728"/>
        <w:gridCol w:w="1728"/>
      </w:tblGrid>
      <w:tr w14:paraId="6ACF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F8A065">
            <w:pPr>
              <w:spacing w:after="0" w:line="240" w:lineRule="auto"/>
            </w:pPr>
            <w:r>
              <w:t>Feature / Site</w:t>
            </w:r>
          </w:p>
        </w:tc>
        <w:tc>
          <w:tcPr>
            <w:tcW w:w="1728" w:type="dxa"/>
          </w:tcPr>
          <w:p w14:paraId="75062B57">
            <w:pPr>
              <w:spacing w:after="0" w:line="240" w:lineRule="auto"/>
            </w:pPr>
            <w:r>
              <w:t>Idealist (VolunteerMatch)</w:t>
            </w:r>
          </w:p>
        </w:tc>
        <w:tc>
          <w:tcPr>
            <w:tcW w:w="1728" w:type="dxa"/>
          </w:tcPr>
          <w:p w14:paraId="29F146B6">
            <w:pPr>
              <w:spacing w:after="0" w:line="240" w:lineRule="auto"/>
            </w:pPr>
            <w:r>
              <w:t>St. Jude’s</w:t>
            </w:r>
          </w:p>
        </w:tc>
        <w:tc>
          <w:tcPr>
            <w:tcW w:w="1728" w:type="dxa"/>
          </w:tcPr>
          <w:p w14:paraId="140B1685">
            <w:pPr>
              <w:spacing w:after="0" w:line="240" w:lineRule="auto"/>
            </w:pPr>
            <w:r>
              <w:t>WWF</w:t>
            </w:r>
          </w:p>
        </w:tc>
        <w:tc>
          <w:tcPr>
            <w:tcW w:w="1728" w:type="dxa"/>
          </w:tcPr>
          <w:p w14:paraId="08D86AA5">
            <w:pPr>
              <w:spacing w:after="0" w:line="240" w:lineRule="auto"/>
            </w:pPr>
            <w:r>
              <w:t>Save the Children</w:t>
            </w:r>
          </w:p>
        </w:tc>
      </w:tr>
      <w:tr w14:paraId="6173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774AD8">
            <w:pPr>
              <w:spacing w:after="0" w:line="240" w:lineRule="auto"/>
            </w:pPr>
            <w:r>
              <w:t>Primary Focus</w:t>
            </w:r>
          </w:p>
        </w:tc>
        <w:tc>
          <w:tcPr>
            <w:tcW w:w="1728" w:type="dxa"/>
          </w:tcPr>
          <w:p w14:paraId="2731A47A">
            <w:pPr>
              <w:spacing w:after="0" w:line="240" w:lineRule="auto"/>
            </w:pPr>
            <w:r>
              <w:t>Volunteer &amp; nonprofit job listings</w:t>
            </w:r>
          </w:p>
        </w:tc>
        <w:tc>
          <w:tcPr>
            <w:tcW w:w="1728" w:type="dxa"/>
          </w:tcPr>
          <w:p w14:paraId="61A1D83A">
            <w:pPr>
              <w:spacing w:after="0" w:line="240" w:lineRule="auto"/>
            </w:pPr>
            <w:r>
              <w:t>Pediatric cancer research &amp; treatment</w:t>
            </w:r>
          </w:p>
        </w:tc>
        <w:tc>
          <w:tcPr>
            <w:tcW w:w="1728" w:type="dxa"/>
          </w:tcPr>
          <w:p w14:paraId="29056628">
            <w:pPr>
              <w:spacing w:after="0" w:line="240" w:lineRule="auto"/>
            </w:pPr>
            <w:r>
              <w:t>Wildlife &amp; environmental conservation</w:t>
            </w:r>
          </w:p>
        </w:tc>
        <w:tc>
          <w:tcPr>
            <w:tcW w:w="1728" w:type="dxa"/>
          </w:tcPr>
          <w:p w14:paraId="6BAFB8A8">
            <w:pPr>
              <w:spacing w:after="0" w:line="240" w:lineRule="auto"/>
            </w:pPr>
            <w:r>
              <w:t>Child welfare, education, global relief</w:t>
            </w:r>
          </w:p>
        </w:tc>
      </w:tr>
      <w:tr w14:paraId="7063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8DA03C">
            <w:pPr>
              <w:spacing w:after="0" w:line="240" w:lineRule="auto"/>
            </w:pPr>
            <w:r>
              <w:t>Emotional Storytelling</w:t>
            </w:r>
          </w:p>
        </w:tc>
        <w:tc>
          <w:tcPr>
            <w:tcW w:w="1728" w:type="dxa"/>
          </w:tcPr>
          <w:p w14:paraId="678CBFB6">
            <w:pPr>
              <w:spacing w:after="0" w:line="240" w:lineRule="auto"/>
            </w:pPr>
            <w:r>
              <w:t>Low (directory-like)</w:t>
            </w:r>
          </w:p>
        </w:tc>
        <w:tc>
          <w:tcPr>
            <w:tcW w:w="1728" w:type="dxa"/>
          </w:tcPr>
          <w:p w14:paraId="6F692058">
            <w:pPr>
              <w:spacing w:after="0" w:line="240" w:lineRule="auto"/>
            </w:pPr>
            <w:r>
              <w:t>Very high (patient stories, photos, videos)</w:t>
            </w:r>
          </w:p>
        </w:tc>
        <w:tc>
          <w:tcPr>
            <w:tcW w:w="1728" w:type="dxa"/>
          </w:tcPr>
          <w:p w14:paraId="60B2C526">
            <w:pPr>
              <w:spacing w:after="0" w:line="240" w:lineRule="auto"/>
            </w:pPr>
            <w:r>
              <w:t>High (animal imagery, nature campaigns)</w:t>
            </w:r>
          </w:p>
        </w:tc>
        <w:tc>
          <w:tcPr>
            <w:tcW w:w="1728" w:type="dxa"/>
          </w:tcPr>
          <w:p w14:paraId="0E6C6D51">
            <w:pPr>
              <w:spacing w:after="0" w:line="240" w:lineRule="auto"/>
            </w:pPr>
            <w:r>
              <w:t>Very high (child-centered impact stories)</w:t>
            </w:r>
          </w:p>
        </w:tc>
      </w:tr>
      <w:tr w14:paraId="554E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36B83E">
            <w:pPr>
              <w:spacing w:after="0" w:line="240" w:lineRule="auto"/>
            </w:pPr>
            <w:r>
              <w:t>Donation CTA (Call-to-Action)</w:t>
            </w:r>
          </w:p>
        </w:tc>
        <w:tc>
          <w:tcPr>
            <w:tcW w:w="1728" w:type="dxa"/>
          </w:tcPr>
          <w:p w14:paraId="4088008E">
            <w:pPr>
              <w:spacing w:after="0" w:line="240" w:lineRule="auto"/>
            </w:pPr>
            <w:r>
              <w:t>Secondary, not prominent</w:t>
            </w:r>
          </w:p>
        </w:tc>
        <w:tc>
          <w:tcPr>
            <w:tcW w:w="1728" w:type="dxa"/>
          </w:tcPr>
          <w:p w14:paraId="66AE24AE">
            <w:pPr>
              <w:spacing w:after="0" w:line="240" w:lineRule="auto"/>
            </w:pPr>
            <w:r>
              <w:t>Very prominent (monthly, one-time, 'Give Now')</w:t>
            </w:r>
          </w:p>
        </w:tc>
        <w:tc>
          <w:tcPr>
            <w:tcW w:w="1728" w:type="dxa"/>
          </w:tcPr>
          <w:p w14:paraId="050BC3A8">
            <w:pPr>
              <w:spacing w:after="0" w:line="240" w:lineRule="auto"/>
            </w:pPr>
            <w:r>
              <w:t>Prominent (adopt an animal, donate monthly)</w:t>
            </w:r>
          </w:p>
        </w:tc>
        <w:tc>
          <w:tcPr>
            <w:tcW w:w="1728" w:type="dxa"/>
          </w:tcPr>
          <w:p w14:paraId="18BCB71D">
            <w:pPr>
              <w:spacing w:after="0" w:line="240" w:lineRule="auto"/>
            </w:pPr>
            <w:r>
              <w:t>Very prominent (urgent appeals, recurring gifts)</w:t>
            </w:r>
          </w:p>
        </w:tc>
      </w:tr>
      <w:tr w14:paraId="26B6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ACFCFC">
            <w:pPr>
              <w:spacing w:after="0" w:line="240" w:lineRule="auto"/>
            </w:pPr>
            <w:r>
              <w:t>Recurring Donation Options</w:t>
            </w:r>
          </w:p>
        </w:tc>
        <w:tc>
          <w:tcPr>
            <w:tcW w:w="1728" w:type="dxa"/>
          </w:tcPr>
          <w:p w14:paraId="107659B5">
            <w:pPr>
              <w:spacing w:after="0" w:line="240" w:lineRule="auto"/>
            </w:pPr>
            <w:r>
              <w:t>Minimal</w:t>
            </w:r>
          </w:p>
        </w:tc>
        <w:tc>
          <w:tcPr>
            <w:tcW w:w="1728" w:type="dxa"/>
          </w:tcPr>
          <w:p w14:paraId="6E7D6EA8">
            <w:pPr>
              <w:spacing w:after="0" w:line="240" w:lineRule="auto"/>
            </w:pPr>
            <w:r>
              <w:t>Strong (monthly donor clubs, branded programs)</w:t>
            </w:r>
          </w:p>
        </w:tc>
        <w:tc>
          <w:tcPr>
            <w:tcW w:w="1728" w:type="dxa"/>
          </w:tcPr>
          <w:p w14:paraId="688FFB50">
            <w:pPr>
              <w:spacing w:after="0" w:line="240" w:lineRule="auto"/>
            </w:pPr>
            <w:r>
              <w:t>Strong (sponsorships, symbolic adoptions)</w:t>
            </w:r>
          </w:p>
        </w:tc>
        <w:tc>
          <w:tcPr>
            <w:tcW w:w="1728" w:type="dxa"/>
          </w:tcPr>
          <w:p w14:paraId="4E2A2431">
            <w:pPr>
              <w:spacing w:after="0" w:line="240" w:lineRule="auto"/>
            </w:pPr>
            <w:r>
              <w:t>Strong (monthly supporter programs)</w:t>
            </w:r>
          </w:p>
        </w:tc>
      </w:tr>
      <w:tr w14:paraId="782C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628E24">
            <w:pPr>
              <w:spacing w:after="0" w:line="240" w:lineRule="auto"/>
            </w:pPr>
            <w:r>
              <w:t>Transparency / Impact Reporting</w:t>
            </w:r>
          </w:p>
        </w:tc>
        <w:tc>
          <w:tcPr>
            <w:tcW w:w="1728" w:type="dxa"/>
          </w:tcPr>
          <w:p w14:paraId="29326367">
            <w:pPr>
              <w:spacing w:after="0" w:line="240" w:lineRule="auto"/>
            </w:pPr>
            <w:r>
              <w:t>Medium (basic info on orgs)</w:t>
            </w:r>
          </w:p>
        </w:tc>
        <w:tc>
          <w:tcPr>
            <w:tcW w:w="1728" w:type="dxa"/>
          </w:tcPr>
          <w:p w14:paraId="3D876C26">
            <w:pPr>
              <w:spacing w:after="0" w:line="240" w:lineRule="auto"/>
            </w:pPr>
            <w:r>
              <w:t>High (impact reports, trust badges)</w:t>
            </w:r>
          </w:p>
        </w:tc>
        <w:tc>
          <w:tcPr>
            <w:tcW w:w="1728" w:type="dxa"/>
          </w:tcPr>
          <w:p w14:paraId="2EFAF658">
            <w:pPr>
              <w:spacing w:after="0" w:line="240" w:lineRule="auto"/>
            </w:pPr>
            <w:r>
              <w:t>High (annual reports, measurable conservation outcomes)</w:t>
            </w:r>
          </w:p>
        </w:tc>
        <w:tc>
          <w:tcPr>
            <w:tcW w:w="1728" w:type="dxa"/>
          </w:tcPr>
          <w:p w14:paraId="2F32C0FB">
            <w:pPr>
              <w:spacing w:after="0" w:line="240" w:lineRule="auto"/>
            </w:pPr>
            <w:r>
              <w:t>High (impact dashboards, use-of-funds breakdowns)</w:t>
            </w:r>
          </w:p>
        </w:tc>
      </w:tr>
      <w:tr w14:paraId="41199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2E981C">
            <w:pPr>
              <w:spacing w:after="0" w:line="240" w:lineRule="auto"/>
            </w:pPr>
            <w:r>
              <w:t>User Engagement Beyond Donation</w:t>
            </w:r>
          </w:p>
        </w:tc>
        <w:tc>
          <w:tcPr>
            <w:tcW w:w="1728" w:type="dxa"/>
          </w:tcPr>
          <w:p w14:paraId="0E5620D4">
            <w:pPr>
              <w:spacing w:after="0" w:line="240" w:lineRule="auto"/>
            </w:pPr>
            <w:r>
              <w:t>Volunteering, job postings</w:t>
            </w:r>
          </w:p>
        </w:tc>
        <w:tc>
          <w:tcPr>
            <w:tcW w:w="1728" w:type="dxa"/>
          </w:tcPr>
          <w:p w14:paraId="5A9807B8">
            <w:pPr>
              <w:spacing w:after="0" w:line="240" w:lineRule="auto"/>
            </w:pPr>
            <w:r>
              <w:t>Fundraising events, awareness campaigns</w:t>
            </w:r>
          </w:p>
        </w:tc>
        <w:tc>
          <w:tcPr>
            <w:tcW w:w="1728" w:type="dxa"/>
          </w:tcPr>
          <w:p w14:paraId="2342C92A">
            <w:pPr>
              <w:spacing w:after="0" w:line="240" w:lineRule="auto"/>
            </w:pPr>
            <w:r>
              <w:t>Petitions, symbolic adoptions, advocacy</w:t>
            </w:r>
          </w:p>
        </w:tc>
        <w:tc>
          <w:tcPr>
            <w:tcW w:w="1728" w:type="dxa"/>
          </w:tcPr>
          <w:p w14:paraId="41620C24">
            <w:pPr>
              <w:spacing w:after="0" w:line="240" w:lineRule="auto"/>
            </w:pPr>
            <w:r>
              <w:t>Child sponsorship, advocacy campaigns</w:t>
            </w:r>
          </w:p>
        </w:tc>
      </w:tr>
      <w:tr w14:paraId="0428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A93775">
            <w:pPr>
              <w:spacing w:after="0" w:line="240" w:lineRule="auto"/>
            </w:pPr>
            <w:r>
              <w:t>Design &amp; UX</w:t>
            </w:r>
          </w:p>
        </w:tc>
        <w:tc>
          <w:tcPr>
            <w:tcW w:w="1728" w:type="dxa"/>
          </w:tcPr>
          <w:p w14:paraId="31B9B984">
            <w:pPr>
              <w:spacing w:after="0" w:line="240" w:lineRule="auto"/>
            </w:pPr>
            <w:r>
              <w:t>Functional, search-driven</w:t>
            </w:r>
          </w:p>
        </w:tc>
        <w:tc>
          <w:tcPr>
            <w:tcW w:w="1728" w:type="dxa"/>
          </w:tcPr>
          <w:p w14:paraId="0D42A8A9">
            <w:pPr>
              <w:spacing w:after="0" w:line="240" w:lineRule="auto"/>
            </w:pPr>
            <w:r>
              <w:t>Polished, emotional, donation-optimized</w:t>
            </w:r>
          </w:p>
        </w:tc>
        <w:tc>
          <w:tcPr>
            <w:tcW w:w="1728" w:type="dxa"/>
          </w:tcPr>
          <w:p w14:paraId="6CB21AC7">
            <w:pPr>
              <w:spacing w:after="0" w:line="240" w:lineRule="auto"/>
            </w:pPr>
            <w:r>
              <w:t>Clean, visual, nature photography</w:t>
            </w:r>
          </w:p>
        </w:tc>
        <w:tc>
          <w:tcPr>
            <w:tcW w:w="1728" w:type="dxa"/>
          </w:tcPr>
          <w:p w14:paraId="35090823">
            <w:pPr>
              <w:spacing w:after="0" w:line="240" w:lineRule="auto"/>
            </w:pPr>
            <w:r>
              <w:t>Polished, urgency-driven, child-focused imagery</w:t>
            </w:r>
          </w:p>
        </w:tc>
      </w:tr>
      <w:tr w14:paraId="64959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C6622F">
            <w:pPr>
              <w:spacing w:after="0" w:line="240" w:lineRule="auto"/>
            </w:pPr>
            <w:r>
              <w:t>Unique Feature</w:t>
            </w:r>
          </w:p>
        </w:tc>
        <w:tc>
          <w:tcPr>
            <w:tcW w:w="1728" w:type="dxa"/>
          </w:tcPr>
          <w:p w14:paraId="165A26CB">
            <w:pPr>
              <w:spacing w:after="0" w:line="240" w:lineRule="auto"/>
            </w:pPr>
            <w:r>
              <w:t>Advanced search filters for volunteering</w:t>
            </w:r>
          </w:p>
        </w:tc>
        <w:tc>
          <w:tcPr>
            <w:tcW w:w="1728" w:type="dxa"/>
          </w:tcPr>
          <w:p w14:paraId="72ACF725">
            <w:pPr>
              <w:spacing w:after="0" w:line="240" w:lineRule="auto"/>
            </w:pPr>
            <w:r>
              <w:t>Strongest emotional pull through children’s stories</w:t>
            </w:r>
          </w:p>
        </w:tc>
        <w:tc>
          <w:tcPr>
            <w:tcW w:w="1728" w:type="dxa"/>
          </w:tcPr>
          <w:p w14:paraId="18F8DFEA">
            <w:pPr>
              <w:spacing w:after="0" w:line="240" w:lineRule="auto"/>
            </w:pPr>
            <w:r>
              <w:t>Symbolic animal adoption program</w:t>
            </w:r>
          </w:p>
        </w:tc>
        <w:tc>
          <w:tcPr>
            <w:tcW w:w="1728" w:type="dxa"/>
          </w:tcPr>
          <w:p w14:paraId="55E1BD29">
            <w:pPr>
              <w:spacing w:after="0" w:line="240" w:lineRule="auto"/>
            </w:pPr>
            <w:r>
              <w:t>Sponsor-a-child model with strong recurring donor appeal</w:t>
            </w:r>
          </w:p>
        </w:tc>
      </w:tr>
    </w:tbl>
    <w:p w14:paraId="74A8C4D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B9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Dhanush Nandish</cp:lastModifiedBy>
  <dcterms:modified xsi:type="dcterms:W3CDTF">2025-09-10T20:26:55Z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C5270800E83F49D1BD49C1C25D47C169_12</vt:lpwstr>
  </property>
</Properties>
</file>