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B023" w14:textId="7FE19186" w:rsidR="00E46C3C" w:rsidRDefault="002E218A">
      <w:r>
        <w:rPr>
          <w:noProof/>
        </w:rPr>
        <w:drawing>
          <wp:inline distT="0" distB="0" distL="0" distR="0" wp14:anchorId="48E7F55B" wp14:editId="05BC8565">
            <wp:extent cx="5731510" cy="873252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B55F" w14:textId="76DB57A3" w:rsidR="002E218A" w:rsidRDefault="002E218A">
      <w:r>
        <w:lastRenderedPageBreak/>
        <w:t>This architecture provides better security tactics as the resource management, logging and error handling is pretty much defined in the fashion that every layer works for a dedicated task. Platform layer performs validation and sanitization, services perform CRUD based operations.</w:t>
      </w:r>
    </w:p>
    <w:sectPr w:rsidR="002E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20"/>
    <w:rsid w:val="002E218A"/>
    <w:rsid w:val="00567620"/>
    <w:rsid w:val="00E4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254C"/>
  <w15:chartTrackingRefBased/>
  <w15:docId w15:val="{CF995667-2297-49A2-81EB-51C6A72D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2</cp:revision>
  <dcterms:created xsi:type="dcterms:W3CDTF">2022-10-16T03:21:00Z</dcterms:created>
  <dcterms:modified xsi:type="dcterms:W3CDTF">2022-10-16T03:24:00Z</dcterms:modified>
</cp:coreProperties>
</file>