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Cox proportional hazards analysis of recorded repeat endoscopy</w:t>
      </w:r>
    </w:p>
    <w:p>
      <w:pPr/>
      <w:r>
        <w:t>Final analysis for Dr Eric Shah | October 24 2026</w:t>
      </w:r>
    </w:p>
    <w:p>
      <w:pPr/>
      <w:r>
        <w:t>Cox models were fitted separately for broad colonoscopy and EGD cohorts under three follow-up assumptions. The first later-day core procedure is the event, through day 730. Hazard ratios are exploratory associations within selected extracts. Unverified observation, missing age at index and nonproportional hazards limit clinical interpretation. The bleeding-defined cohort has zero events and no estimable Cox model.</w:t>
      </w:r>
    </w:p>
    <w:p>
      <w:pPr>
        <w:pStyle w:val="Heading1"/>
        <w:pageBreakBefore w:val="0"/>
      </w:pPr>
      <w:r>
        <w:t>Analysis populations</w:t>
      </w:r>
    </w:p>
    <w:tbl>
      <w:tblPr>
        <w:tblW w:type="auto" w:w="0"/>
        <w:tblLayout w:type="fixed"/>
        <w:tblLook w:firstColumn="1" w:firstRow="1" w:lastColumn="0" w:lastRow="0" w:noHBand="0" w:noVBand="1" w:val="04A0"/>
      </w:tblPr>
      <w:tblGrid>
        <w:gridCol w:w="5400"/>
        <w:gridCol w:w="1512"/>
        <w:gridCol w:w="1296"/>
        <w:gridCol w:w="2232"/>
      </w:tblGrid>
      <w:tr>
        <w:trPr>
          <w:cantSplit/>
          <w:tblHeader/>
        </w:trPr>
        <w:tc>
          <w:tcPr>
            <w:tcW w:type="dxa" w:w="5400"/>
            <w:vAlign w:val="top"/>
            <w:shd w:fill="E8EDF1"/>
          </w:tcPr>
          <w:p>
            <w:pPr>
              <w:spacing w:after="60" w:before="60" w:line="252" w:lineRule="auto"/>
            </w:pPr>
            <w:r>
              <w:rPr>
                <w:b/>
                <w:sz w:val="18"/>
              </w:rPr>
              <w:t>Cohort and follow-up rule</w:t>
            </w:r>
          </w:p>
        </w:tc>
        <w:tc>
          <w:tcPr>
            <w:tcW w:type="dxa" w:w="1512"/>
            <w:vAlign w:val="top"/>
            <w:shd w:fill="E8EDF1"/>
          </w:tcPr>
          <w:p>
            <w:pPr>
              <w:spacing w:after="60" w:before="60" w:line="252" w:lineRule="auto"/>
            </w:pPr>
            <w:r>
              <w:rPr>
                <w:b/>
                <w:sz w:val="18"/>
              </w:rPr>
              <w:t>N analyzed</w:t>
            </w:r>
          </w:p>
        </w:tc>
        <w:tc>
          <w:tcPr>
            <w:tcW w:type="dxa" w:w="1296"/>
            <w:vAlign w:val="top"/>
            <w:shd w:fill="E8EDF1"/>
          </w:tcPr>
          <w:p>
            <w:pPr>
              <w:spacing w:after="60" w:before="60" w:line="252" w:lineRule="auto"/>
            </w:pPr>
            <w:r>
              <w:rPr>
                <w:b/>
                <w:sz w:val="18"/>
              </w:rPr>
              <w:t>Events</w:t>
            </w:r>
          </w:p>
        </w:tc>
        <w:tc>
          <w:tcPr>
            <w:tcW w:type="dxa" w:w="2232"/>
            <w:vAlign w:val="top"/>
            <w:shd w:fill="E8EDF1"/>
          </w:tcPr>
          <w:p>
            <w:pPr>
              <w:spacing w:after="60" w:before="60" w:line="252" w:lineRule="auto"/>
            </w:pPr>
            <w:r>
              <w:rPr>
                <w:b/>
                <w:sz w:val="18"/>
              </w:rPr>
              <w:t>Zero-time exclusions</w:t>
            </w:r>
          </w:p>
        </w:tc>
      </w:tr>
      <w:tr>
        <w:trPr>
          <w:cantSplit/>
        </w:trPr>
        <w:tc>
          <w:tcPr>
            <w:tcW w:type="dxa" w:w="5400"/>
            <w:vAlign w:val="top"/>
          </w:tcPr>
          <w:p>
            <w:pPr>
              <w:spacing w:after="60" w:before="60" w:line="252" w:lineRule="auto"/>
            </w:pPr>
            <w:r>
              <w:rPr>
                <w:b w:val="0"/>
                <w:sz w:val="18"/>
              </w:rPr>
              <w:t>Colonoscopy / Administrative</w:t>
            </w:r>
          </w:p>
        </w:tc>
        <w:tc>
          <w:tcPr>
            <w:tcW w:type="dxa" w:w="1512"/>
            <w:vAlign w:val="top"/>
          </w:tcPr>
          <w:p>
            <w:pPr>
              <w:spacing w:after="60" w:before="60" w:line="252" w:lineRule="auto"/>
            </w:pPr>
            <w:r>
              <w:rPr>
                <w:b w:val="0"/>
                <w:sz w:val="18"/>
              </w:rPr>
              <w:t>12,776</w:t>
            </w:r>
          </w:p>
        </w:tc>
        <w:tc>
          <w:tcPr>
            <w:tcW w:type="dxa" w:w="1296"/>
            <w:vAlign w:val="top"/>
          </w:tcPr>
          <w:p>
            <w:pPr>
              <w:spacing w:after="60" w:before="60" w:line="252" w:lineRule="auto"/>
            </w:pPr>
            <w:r>
              <w:rPr>
                <w:b w:val="0"/>
                <w:sz w:val="18"/>
              </w:rPr>
              <w:t>181</w:t>
            </w:r>
          </w:p>
        </w:tc>
        <w:tc>
          <w:tcPr>
            <w:tcW w:type="dxa" w:w="2232"/>
            <w:vAlign w:val="top"/>
          </w:tcPr>
          <w:p>
            <w:pPr>
              <w:spacing w:after="60" w:before="60" w:line="252" w:lineRule="auto"/>
            </w:pPr>
            <w:r>
              <w:rPr>
                <w:b w:val="0"/>
                <w:sz w:val="18"/>
              </w:rPr>
              <w:t>0</w:t>
            </w:r>
          </w:p>
        </w:tc>
      </w:tr>
      <w:tr>
        <w:trPr>
          <w:cantSplit/>
        </w:trPr>
        <w:tc>
          <w:tcPr>
            <w:tcW w:type="dxa" w:w="5400"/>
            <w:vAlign w:val="top"/>
          </w:tcPr>
          <w:p>
            <w:pPr>
              <w:spacing w:after="60" w:before="60" w:line="252" w:lineRule="auto"/>
            </w:pPr>
            <w:r>
              <w:rPr>
                <w:b w:val="0"/>
                <w:sz w:val="18"/>
              </w:rPr>
              <w:t>Colonoscopy / Last recorded contact</w:t>
            </w:r>
          </w:p>
        </w:tc>
        <w:tc>
          <w:tcPr>
            <w:tcW w:type="dxa" w:w="1512"/>
            <w:vAlign w:val="top"/>
          </w:tcPr>
          <w:p>
            <w:pPr>
              <w:spacing w:after="60" w:before="60" w:line="252" w:lineRule="auto"/>
            </w:pPr>
            <w:r>
              <w:rPr>
                <w:b w:val="0"/>
                <w:sz w:val="18"/>
              </w:rPr>
              <w:t>3,437</w:t>
            </w:r>
          </w:p>
        </w:tc>
        <w:tc>
          <w:tcPr>
            <w:tcW w:type="dxa" w:w="1296"/>
            <w:vAlign w:val="top"/>
          </w:tcPr>
          <w:p>
            <w:pPr>
              <w:spacing w:after="60" w:before="60" w:line="252" w:lineRule="auto"/>
            </w:pPr>
            <w:r>
              <w:rPr>
                <w:b w:val="0"/>
                <w:sz w:val="18"/>
              </w:rPr>
              <w:t>181</w:t>
            </w:r>
          </w:p>
        </w:tc>
        <w:tc>
          <w:tcPr>
            <w:tcW w:type="dxa" w:w="2232"/>
            <w:vAlign w:val="top"/>
          </w:tcPr>
          <w:p>
            <w:pPr>
              <w:spacing w:after="60" w:before="60" w:line="252" w:lineRule="auto"/>
            </w:pPr>
            <w:r>
              <w:rPr>
                <w:b w:val="0"/>
                <w:sz w:val="18"/>
              </w:rPr>
              <w:t>9,339</w:t>
            </w:r>
          </w:p>
        </w:tc>
      </w:tr>
      <w:tr>
        <w:trPr>
          <w:cantSplit/>
        </w:trPr>
        <w:tc>
          <w:tcPr>
            <w:tcW w:type="dxa" w:w="5400"/>
            <w:vAlign w:val="top"/>
          </w:tcPr>
          <w:p>
            <w:pPr>
              <w:spacing w:after="60" w:before="60" w:line="252" w:lineRule="auto"/>
            </w:pPr>
            <w:r>
              <w:rPr>
                <w:b w:val="0"/>
                <w:sz w:val="18"/>
              </w:rPr>
              <w:t>Colonoscopy / Last appointment plus repeat evidence</w:t>
            </w:r>
          </w:p>
        </w:tc>
        <w:tc>
          <w:tcPr>
            <w:tcW w:type="dxa" w:w="1512"/>
            <w:vAlign w:val="top"/>
          </w:tcPr>
          <w:p>
            <w:pPr>
              <w:spacing w:after="60" w:before="60" w:line="252" w:lineRule="auto"/>
            </w:pPr>
            <w:r>
              <w:rPr>
                <w:b w:val="0"/>
                <w:sz w:val="18"/>
              </w:rPr>
              <w:t>1,402</w:t>
            </w:r>
          </w:p>
        </w:tc>
        <w:tc>
          <w:tcPr>
            <w:tcW w:type="dxa" w:w="1296"/>
            <w:vAlign w:val="top"/>
          </w:tcPr>
          <w:p>
            <w:pPr>
              <w:spacing w:after="60" w:before="60" w:line="252" w:lineRule="auto"/>
            </w:pPr>
            <w:r>
              <w:rPr>
                <w:b w:val="0"/>
                <w:sz w:val="18"/>
              </w:rPr>
              <w:t>181</w:t>
            </w:r>
          </w:p>
        </w:tc>
        <w:tc>
          <w:tcPr>
            <w:tcW w:type="dxa" w:w="2232"/>
            <w:vAlign w:val="top"/>
          </w:tcPr>
          <w:p>
            <w:pPr>
              <w:spacing w:after="60" w:before="60" w:line="252" w:lineRule="auto"/>
            </w:pPr>
            <w:r>
              <w:rPr>
                <w:b w:val="0"/>
                <w:sz w:val="18"/>
              </w:rPr>
              <w:t>11,374</w:t>
            </w:r>
          </w:p>
        </w:tc>
      </w:tr>
      <w:tr>
        <w:trPr>
          <w:cantSplit/>
        </w:trPr>
        <w:tc>
          <w:tcPr>
            <w:tcW w:type="dxa" w:w="5400"/>
            <w:vAlign w:val="top"/>
          </w:tcPr>
          <w:p>
            <w:pPr>
              <w:spacing w:after="60" w:before="60" w:line="252" w:lineRule="auto"/>
            </w:pPr>
            <w:r>
              <w:rPr>
                <w:b w:val="0"/>
                <w:sz w:val="18"/>
              </w:rPr>
              <w:t>EGD / Administrative</w:t>
            </w:r>
          </w:p>
        </w:tc>
        <w:tc>
          <w:tcPr>
            <w:tcW w:type="dxa" w:w="1512"/>
            <w:vAlign w:val="top"/>
          </w:tcPr>
          <w:p>
            <w:pPr>
              <w:spacing w:after="60" w:before="60" w:line="252" w:lineRule="auto"/>
            </w:pPr>
            <w:r>
              <w:rPr>
                <w:b w:val="0"/>
                <w:sz w:val="18"/>
              </w:rPr>
              <w:t>41,767</w:t>
            </w:r>
          </w:p>
        </w:tc>
        <w:tc>
          <w:tcPr>
            <w:tcW w:type="dxa" w:w="1296"/>
            <w:vAlign w:val="top"/>
          </w:tcPr>
          <w:p>
            <w:pPr>
              <w:spacing w:after="60" w:before="60" w:line="252" w:lineRule="auto"/>
            </w:pPr>
            <w:r>
              <w:rPr>
                <w:b w:val="0"/>
                <w:sz w:val="18"/>
              </w:rPr>
              <w:t>2,952</w:t>
            </w:r>
          </w:p>
        </w:tc>
        <w:tc>
          <w:tcPr>
            <w:tcW w:type="dxa" w:w="2232"/>
            <w:vAlign w:val="top"/>
          </w:tcPr>
          <w:p>
            <w:pPr>
              <w:spacing w:after="60" w:before="60" w:line="252" w:lineRule="auto"/>
            </w:pPr>
            <w:r>
              <w:rPr>
                <w:b w:val="0"/>
                <w:sz w:val="18"/>
              </w:rPr>
              <w:t>5</w:t>
            </w:r>
          </w:p>
        </w:tc>
      </w:tr>
      <w:tr>
        <w:trPr>
          <w:cantSplit/>
        </w:trPr>
        <w:tc>
          <w:tcPr>
            <w:tcW w:type="dxa" w:w="5400"/>
            <w:vAlign w:val="top"/>
          </w:tcPr>
          <w:p>
            <w:pPr>
              <w:spacing w:after="60" w:before="60" w:line="252" w:lineRule="auto"/>
            </w:pPr>
            <w:r>
              <w:rPr>
                <w:b w:val="0"/>
                <w:sz w:val="18"/>
              </w:rPr>
              <w:t>EGD / Last recorded contact</w:t>
            </w:r>
          </w:p>
        </w:tc>
        <w:tc>
          <w:tcPr>
            <w:tcW w:type="dxa" w:w="1512"/>
            <w:vAlign w:val="top"/>
          </w:tcPr>
          <w:p>
            <w:pPr>
              <w:spacing w:after="60" w:before="60" w:line="252" w:lineRule="auto"/>
            </w:pPr>
            <w:r>
              <w:rPr>
                <w:b w:val="0"/>
                <w:sz w:val="18"/>
              </w:rPr>
              <w:t>16,944</w:t>
            </w:r>
          </w:p>
        </w:tc>
        <w:tc>
          <w:tcPr>
            <w:tcW w:type="dxa" w:w="1296"/>
            <w:vAlign w:val="top"/>
          </w:tcPr>
          <w:p>
            <w:pPr>
              <w:spacing w:after="60" w:before="60" w:line="252" w:lineRule="auto"/>
            </w:pPr>
            <w:r>
              <w:rPr>
                <w:b w:val="0"/>
                <w:sz w:val="18"/>
              </w:rPr>
              <w:t>2,952</w:t>
            </w:r>
          </w:p>
        </w:tc>
        <w:tc>
          <w:tcPr>
            <w:tcW w:type="dxa" w:w="2232"/>
            <w:vAlign w:val="top"/>
          </w:tcPr>
          <w:p>
            <w:pPr>
              <w:spacing w:after="60" w:before="60" w:line="252" w:lineRule="auto"/>
            </w:pPr>
            <w:r>
              <w:rPr>
                <w:b w:val="0"/>
                <w:sz w:val="18"/>
              </w:rPr>
              <w:t>24,828</w:t>
            </w:r>
          </w:p>
        </w:tc>
      </w:tr>
      <w:tr>
        <w:trPr>
          <w:cantSplit/>
        </w:trPr>
        <w:tc>
          <w:tcPr>
            <w:tcW w:type="dxa" w:w="5400"/>
            <w:vAlign w:val="top"/>
          </w:tcPr>
          <w:p>
            <w:pPr>
              <w:spacing w:after="60" w:before="60" w:line="252" w:lineRule="auto"/>
            </w:pPr>
            <w:r>
              <w:rPr>
                <w:b w:val="0"/>
                <w:sz w:val="18"/>
              </w:rPr>
              <w:t>EGD / Last appointment plus repeat evidence</w:t>
            </w:r>
          </w:p>
        </w:tc>
        <w:tc>
          <w:tcPr>
            <w:tcW w:type="dxa" w:w="1512"/>
            <w:vAlign w:val="top"/>
          </w:tcPr>
          <w:p>
            <w:pPr>
              <w:spacing w:after="60" w:before="60" w:line="252" w:lineRule="auto"/>
            </w:pPr>
            <w:r>
              <w:rPr>
                <w:b w:val="0"/>
                <w:sz w:val="18"/>
              </w:rPr>
              <w:t>9,261</w:t>
            </w:r>
          </w:p>
        </w:tc>
        <w:tc>
          <w:tcPr>
            <w:tcW w:type="dxa" w:w="1296"/>
            <w:vAlign w:val="top"/>
          </w:tcPr>
          <w:p>
            <w:pPr>
              <w:spacing w:after="60" w:before="60" w:line="252" w:lineRule="auto"/>
            </w:pPr>
            <w:r>
              <w:rPr>
                <w:b w:val="0"/>
                <w:sz w:val="18"/>
              </w:rPr>
              <w:t>2,952</w:t>
            </w:r>
          </w:p>
        </w:tc>
        <w:tc>
          <w:tcPr>
            <w:tcW w:type="dxa" w:w="2232"/>
            <w:vAlign w:val="top"/>
          </w:tcPr>
          <w:p>
            <w:pPr>
              <w:spacing w:after="60" w:before="60" w:line="252" w:lineRule="auto"/>
            </w:pPr>
            <w:r>
              <w:rPr>
                <w:b w:val="0"/>
                <w:sz w:val="18"/>
              </w:rPr>
              <w:t>32,511</w:t>
            </w:r>
          </w:p>
        </w:tc>
      </w:tr>
    </w:tbl>
    <w:p>
      <w:pPr>
        <w:spacing w:after="40"/>
      </w:pPr>
    </w:p>
    <w:p>
      <w:pPr/>
      <w:r>
        <w:t>Calendar follow-up ends at the earlier of day 730 and May 31, 2023. The contact proxy additionally uses the latest available admission, appointment or procedure. The appointment proxy uses the latest appointment supplemented by repeat evidence. All rules retain observed repeats; proxy rules remove many zero-duration non-event records. These are different observation assumptions and analytic populations, not interchangeable estimates of one validated clinical risk.</w:t>
      </w:r>
    </w:p>
    <w:p>
      <w:pPr>
        <w:pStyle w:val="Heading1"/>
        <w:pageBreakBefore w:val="0"/>
      </w:pPr>
      <w:r>
        <w:t>Key interpretation</w:t>
      </w:r>
    </w:p>
    <w:p>
      <w:pPr/>
      <w:r>
        <w:t>Female recorded gender is associated with lower recorded-repeat EGD hazard across all three assumptions (HR approximately 0.74-0.77). EGD dysphagia is inconclusive under calendar follow-up (HR 1.05; 95% CI 0.95-1.15) but positive under contact follow-up (1.46; 1.33-1.59). Thus dysphagia cannot be called a robust independent driver. Neither finding establishes a causal effect, and age is not controlled.</w:t>
      </w:r>
    </w:p>
    <w:p>
      <w:pPr/>
      <w:r>
        <w:t>Models use Efron ties and a fixed nonredundant exploratory predictor set. The main lifelines results were independently reproduced with statsmodels PHReg for both cohorts under calendar and contact rules, with maximum absolute log-HR differences below 0.0001. No forward/backward model is estimable for the zero-event bleeding component. Broad models are not a substitute for that restricted analysis.</w:t>
      </w:r>
    </w:p>
    <w:p>
      <w:pPr>
        <w:pStyle w:val="Heading1"/>
        <w:pageBreakBefore/>
      </w:pPr>
      <w:r>
        <w:t>Colonoscopy hazard ratios</w:t>
      </w:r>
    </w:p>
    <w:tbl>
      <w:tblPr>
        <w:tblW w:type="auto" w:w="0"/>
        <w:tblLayout w:type="fixed"/>
        <w:tblLook w:firstColumn="1" w:firstRow="1" w:lastColumn="0" w:lastRow="0" w:noHBand="0" w:noVBand="1" w:val="04A0"/>
      </w:tblPr>
      <w:tblGrid>
        <w:gridCol w:w="2592"/>
        <w:gridCol w:w="2621"/>
        <w:gridCol w:w="2621"/>
        <w:gridCol w:w="2606"/>
      </w:tblGrid>
      <w:tr>
        <w:trPr>
          <w:cantSplit/>
          <w:tblHeader/>
        </w:trPr>
        <w:tc>
          <w:tcPr>
            <w:tcW w:type="dxa" w:w="2592"/>
            <w:vAlign w:val="top"/>
            <w:shd w:fill="E8EDF1"/>
          </w:tcPr>
          <w:p>
            <w:pPr>
              <w:spacing w:after="60" w:before="60" w:line="252" w:lineRule="auto"/>
            </w:pPr>
            <w:r>
              <w:rPr>
                <w:b/>
                <w:sz w:val="18"/>
              </w:rPr>
              <w:t>Predictor</w:t>
            </w:r>
          </w:p>
        </w:tc>
        <w:tc>
          <w:tcPr>
            <w:tcW w:type="dxa" w:w="2621"/>
            <w:vAlign w:val="top"/>
            <w:shd w:fill="E8EDF1"/>
          </w:tcPr>
          <w:p>
            <w:pPr>
              <w:spacing w:after="60" w:before="60" w:line="252" w:lineRule="auto"/>
            </w:pPr>
            <w:r>
              <w:rPr>
                <w:b/>
                <w:sz w:val="18"/>
              </w:rPr>
              <w:t>Calendar rule</w:t>
            </w:r>
          </w:p>
        </w:tc>
        <w:tc>
          <w:tcPr>
            <w:tcW w:type="dxa" w:w="2621"/>
            <w:vAlign w:val="top"/>
            <w:shd w:fill="E8EDF1"/>
          </w:tcPr>
          <w:p>
            <w:pPr>
              <w:spacing w:after="60" w:before="60" w:line="252" w:lineRule="auto"/>
            </w:pPr>
            <w:r>
              <w:rPr>
                <w:b/>
                <w:sz w:val="18"/>
              </w:rPr>
              <w:t>Contact proxy</w:t>
            </w:r>
          </w:p>
        </w:tc>
        <w:tc>
          <w:tcPr>
            <w:tcW w:type="dxa" w:w="2606"/>
            <w:vAlign w:val="top"/>
            <w:shd w:fill="E8EDF1"/>
          </w:tcPr>
          <w:p>
            <w:pPr>
              <w:spacing w:after="60" w:before="60" w:line="252" w:lineRule="auto"/>
            </w:pPr>
            <w:r>
              <w:rPr>
                <w:b/>
                <w:sz w:val="18"/>
              </w:rPr>
              <w:t>Appointment proxy</w:t>
            </w:r>
          </w:p>
        </w:tc>
      </w:tr>
      <w:tr>
        <w:trPr>
          <w:cantSplit/>
        </w:trPr>
        <w:tc>
          <w:tcPr>
            <w:tcW w:type="dxa" w:w="2592"/>
            <w:vAlign w:val="top"/>
          </w:tcPr>
          <w:p>
            <w:pPr>
              <w:spacing w:after="60" w:before="60" w:line="252" w:lineRule="auto"/>
            </w:pPr>
            <w:r>
              <w:rPr>
                <w:b w:val="0"/>
                <w:sz w:val="18"/>
              </w:rPr>
              <w:t>female</w:t>
            </w:r>
          </w:p>
        </w:tc>
        <w:tc>
          <w:tcPr>
            <w:tcW w:type="dxa" w:w="2621"/>
            <w:vAlign w:val="top"/>
          </w:tcPr>
          <w:p>
            <w:pPr>
              <w:spacing w:after="60" w:before="60" w:line="252" w:lineRule="auto"/>
            </w:pPr>
            <w:r>
              <w:rPr>
                <w:b w:val="0"/>
                <w:sz w:val="18"/>
              </w:rPr>
              <w:t>0.87 (0.64-1.18) p = 0.361</w:t>
            </w:r>
          </w:p>
        </w:tc>
        <w:tc>
          <w:tcPr>
            <w:tcW w:type="dxa" w:w="2621"/>
            <w:vAlign w:val="top"/>
          </w:tcPr>
          <w:p>
            <w:pPr>
              <w:spacing w:after="60" w:before="60" w:line="252" w:lineRule="auto"/>
            </w:pPr>
            <w:r>
              <w:rPr>
                <w:b w:val="0"/>
                <w:sz w:val="18"/>
              </w:rPr>
              <w:t>0.73 (0.54-0.99) p = 0.046</w:t>
            </w:r>
          </w:p>
        </w:tc>
        <w:tc>
          <w:tcPr>
            <w:tcW w:type="dxa" w:w="2606"/>
            <w:vAlign w:val="top"/>
          </w:tcPr>
          <w:p>
            <w:pPr>
              <w:spacing w:after="60" w:before="60" w:line="252" w:lineRule="auto"/>
            </w:pPr>
            <w:r>
              <w:rPr>
                <w:b w:val="0"/>
                <w:sz w:val="18"/>
              </w:rPr>
              <w:t>0.73 (0.54-0.99) p = 0.040</w:t>
            </w:r>
          </w:p>
        </w:tc>
      </w:tr>
      <w:tr>
        <w:trPr>
          <w:cantSplit/>
        </w:trPr>
        <w:tc>
          <w:tcPr>
            <w:tcW w:type="dxa" w:w="2592"/>
            <w:vAlign w:val="top"/>
          </w:tcPr>
          <w:p>
            <w:pPr>
              <w:spacing w:after="60" w:before="60" w:line="252" w:lineRule="auto"/>
            </w:pPr>
            <w:r>
              <w:rPr>
                <w:b w:val="0"/>
                <w:sz w:val="18"/>
              </w:rPr>
              <w:t>era 2012 2015</w:t>
            </w:r>
          </w:p>
        </w:tc>
        <w:tc>
          <w:tcPr>
            <w:tcW w:type="dxa" w:w="2621"/>
            <w:vAlign w:val="top"/>
          </w:tcPr>
          <w:p>
            <w:pPr>
              <w:spacing w:after="60" w:before="60" w:line="252" w:lineRule="auto"/>
            </w:pPr>
            <w:r>
              <w:rPr>
                <w:b w:val="0"/>
                <w:sz w:val="18"/>
              </w:rPr>
              <w:t>1.19 (0.73-1.95) p = 0.483</w:t>
            </w:r>
          </w:p>
        </w:tc>
        <w:tc>
          <w:tcPr>
            <w:tcW w:type="dxa" w:w="2621"/>
            <w:vAlign w:val="top"/>
          </w:tcPr>
          <w:p>
            <w:pPr>
              <w:spacing w:after="60" w:before="60" w:line="252" w:lineRule="auto"/>
            </w:pPr>
            <w:r>
              <w:rPr>
                <w:b w:val="0"/>
                <w:sz w:val="18"/>
              </w:rPr>
              <w:t>1.38 (0.83-2.27) p = 0.213</w:t>
            </w:r>
          </w:p>
        </w:tc>
        <w:tc>
          <w:tcPr>
            <w:tcW w:type="dxa" w:w="2606"/>
            <w:vAlign w:val="top"/>
          </w:tcPr>
          <w:p>
            <w:pPr>
              <w:spacing w:after="60" w:before="60" w:line="252" w:lineRule="auto"/>
            </w:pPr>
            <w:r>
              <w:rPr>
                <w:b w:val="0"/>
                <w:sz w:val="18"/>
              </w:rPr>
              <w:t>0.88 (0.53-1.45) p = 0.604</w:t>
            </w:r>
          </w:p>
        </w:tc>
      </w:tr>
      <w:tr>
        <w:trPr>
          <w:cantSplit/>
        </w:trPr>
        <w:tc>
          <w:tcPr>
            <w:tcW w:type="dxa" w:w="2592"/>
            <w:vAlign w:val="top"/>
          </w:tcPr>
          <w:p>
            <w:pPr>
              <w:spacing w:after="60" w:before="60" w:line="252" w:lineRule="auto"/>
            </w:pPr>
            <w:r>
              <w:rPr>
                <w:b w:val="0"/>
                <w:sz w:val="18"/>
              </w:rPr>
              <w:t>era 2016 plus</w:t>
            </w:r>
          </w:p>
        </w:tc>
        <w:tc>
          <w:tcPr>
            <w:tcW w:type="dxa" w:w="2621"/>
            <w:vAlign w:val="top"/>
          </w:tcPr>
          <w:p>
            <w:pPr>
              <w:spacing w:after="60" w:before="60" w:line="252" w:lineRule="auto"/>
            </w:pPr>
            <w:r>
              <w:rPr>
                <w:b w:val="0"/>
                <w:sz w:val="18"/>
              </w:rPr>
              <w:t>0.49 (0.26-0.91) p = 0.023</w:t>
            </w:r>
          </w:p>
        </w:tc>
        <w:tc>
          <w:tcPr>
            <w:tcW w:type="dxa" w:w="2621"/>
            <w:vAlign w:val="top"/>
          </w:tcPr>
          <w:p>
            <w:pPr>
              <w:spacing w:after="60" w:before="60" w:line="252" w:lineRule="auto"/>
            </w:pPr>
            <w:r>
              <w:rPr>
                <w:b w:val="0"/>
                <w:sz w:val="18"/>
              </w:rPr>
              <w:t>1.64 (0.87-3.11) p = 0.126</w:t>
            </w:r>
          </w:p>
        </w:tc>
        <w:tc>
          <w:tcPr>
            <w:tcW w:type="dxa" w:w="2606"/>
            <w:vAlign w:val="top"/>
          </w:tcPr>
          <w:p>
            <w:pPr>
              <w:spacing w:after="60" w:before="60" w:line="252" w:lineRule="auto"/>
            </w:pPr>
            <w:r>
              <w:rPr>
                <w:b w:val="0"/>
                <w:sz w:val="18"/>
              </w:rPr>
              <w:t>1.09 (0.58-2.04) p = 0.792</w:t>
            </w:r>
          </w:p>
        </w:tc>
      </w:tr>
      <w:tr>
        <w:trPr>
          <w:cantSplit/>
        </w:trPr>
        <w:tc>
          <w:tcPr>
            <w:tcW w:type="dxa" w:w="2592"/>
            <w:vAlign w:val="top"/>
          </w:tcPr>
          <w:p>
            <w:pPr>
              <w:spacing w:after="60" w:before="60" w:line="252" w:lineRule="auto"/>
            </w:pPr>
            <w:r>
              <w:rPr>
                <w:b w:val="0"/>
                <w:sz w:val="18"/>
              </w:rPr>
              <w:t>abdominal pain</w:t>
            </w:r>
          </w:p>
        </w:tc>
        <w:tc>
          <w:tcPr>
            <w:tcW w:type="dxa" w:w="2621"/>
            <w:vAlign w:val="top"/>
          </w:tcPr>
          <w:p>
            <w:pPr>
              <w:spacing w:after="60" w:before="60" w:line="252" w:lineRule="auto"/>
            </w:pPr>
            <w:r>
              <w:rPr>
                <w:b w:val="0"/>
                <w:sz w:val="18"/>
              </w:rPr>
              <w:t>1.18 (0.84-1.64) p = 0.340</w:t>
            </w:r>
          </w:p>
        </w:tc>
        <w:tc>
          <w:tcPr>
            <w:tcW w:type="dxa" w:w="2621"/>
            <w:vAlign w:val="top"/>
          </w:tcPr>
          <w:p>
            <w:pPr>
              <w:spacing w:after="60" w:before="60" w:line="252" w:lineRule="auto"/>
            </w:pPr>
            <w:r>
              <w:rPr>
                <w:b w:val="0"/>
                <w:sz w:val="18"/>
              </w:rPr>
              <w:t>1.08 (0.78-1.51) p = 0.639</w:t>
            </w:r>
          </w:p>
        </w:tc>
        <w:tc>
          <w:tcPr>
            <w:tcW w:type="dxa" w:w="2606"/>
            <w:vAlign w:val="top"/>
          </w:tcPr>
          <w:p>
            <w:pPr>
              <w:spacing w:after="60" w:before="60" w:line="252" w:lineRule="auto"/>
            </w:pPr>
            <w:r>
              <w:rPr>
                <w:b w:val="0"/>
                <w:sz w:val="18"/>
              </w:rPr>
              <w:t>1.09 (0.78-1.52) p = 0.628</w:t>
            </w:r>
          </w:p>
        </w:tc>
      </w:tr>
      <w:tr>
        <w:trPr>
          <w:cantSplit/>
        </w:trPr>
        <w:tc>
          <w:tcPr>
            <w:tcW w:type="dxa" w:w="2592"/>
            <w:vAlign w:val="top"/>
          </w:tcPr>
          <w:p>
            <w:pPr>
              <w:spacing w:after="60" w:before="60" w:line="252" w:lineRule="auto"/>
            </w:pPr>
            <w:r>
              <w:rPr>
                <w:b w:val="0"/>
                <w:sz w:val="18"/>
              </w:rPr>
              <w:t>constipation</w:t>
            </w:r>
          </w:p>
        </w:tc>
        <w:tc>
          <w:tcPr>
            <w:tcW w:type="dxa" w:w="2621"/>
            <w:vAlign w:val="top"/>
          </w:tcPr>
          <w:p>
            <w:pPr>
              <w:spacing w:after="60" w:before="60" w:line="252" w:lineRule="auto"/>
            </w:pPr>
            <w:r>
              <w:rPr>
                <w:b w:val="0"/>
                <w:sz w:val="18"/>
              </w:rPr>
              <w:t>0.89 (0.56-1.41) p = 0.617</w:t>
            </w:r>
          </w:p>
        </w:tc>
        <w:tc>
          <w:tcPr>
            <w:tcW w:type="dxa" w:w="2621"/>
            <w:vAlign w:val="top"/>
          </w:tcPr>
          <w:p>
            <w:pPr>
              <w:spacing w:after="60" w:before="60" w:line="252" w:lineRule="auto"/>
            </w:pPr>
            <w:r>
              <w:rPr>
                <w:b w:val="0"/>
                <w:sz w:val="18"/>
              </w:rPr>
              <w:t>0.88 (0.55-1.39) p = 0.582</w:t>
            </w:r>
          </w:p>
        </w:tc>
        <w:tc>
          <w:tcPr>
            <w:tcW w:type="dxa" w:w="2606"/>
            <w:vAlign w:val="top"/>
          </w:tcPr>
          <w:p>
            <w:pPr>
              <w:spacing w:after="60" w:before="60" w:line="252" w:lineRule="auto"/>
            </w:pPr>
            <w:r>
              <w:rPr>
                <w:b w:val="0"/>
                <w:sz w:val="18"/>
              </w:rPr>
              <w:t>0.92 (0.58-1.45) p = 0.714</w:t>
            </w:r>
          </w:p>
        </w:tc>
      </w:tr>
      <w:tr>
        <w:trPr>
          <w:cantSplit/>
        </w:trPr>
        <w:tc>
          <w:tcPr>
            <w:tcW w:type="dxa" w:w="2592"/>
            <w:vAlign w:val="top"/>
          </w:tcPr>
          <w:p>
            <w:pPr>
              <w:spacing w:after="60" w:before="60" w:line="252" w:lineRule="auto"/>
            </w:pPr>
            <w:r>
              <w:rPr>
                <w:b w:val="0"/>
                <w:sz w:val="18"/>
              </w:rPr>
              <w:t>unknown dx</w:t>
            </w:r>
          </w:p>
        </w:tc>
        <w:tc>
          <w:tcPr>
            <w:tcW w:type="dxa" w:w="2621"/>
            <w:vAlign w:val="top"/>
          </w:tcPr>
          <w:p>
            <w:pPr>
              <w:spacing w:after="60" w:before="60" w:line="252" w:lineRule="auto"/>
            </w:pPr>
            <w:r>
              <w:rPr>
                <w:b w:val="0"/>
                <w:sz w:val="18"/>
              </w:rPr>
              <w:t>1.45 (0.36-5.87) p = 0.603</w:t>
            </w:r>
          </w:p>
        </w:tc>
        <w:tc>
          <w:tcPr>
            <w:tcW w:type="dxa" w:w="2621"/>
            <w:vAlign w:val="top"/>
          </w:tcPr>
          <w:p>
            <w:pPr>
              <w:spacing w:after="60" w:before="60" w:line="252" w:lineRule="auto"/>
            </w:pPr>
            <w:r>
              <w:rPr>
                <w:b w:val="0"/>
                <w:sz w:val="18"/>
              </w:rPr>
              <w:t>3.47 (0.85-14.14) p = 0.082</w:t>
            </w:r>
          </w:p>
        </w:tc>
        <w:tc>
          <w:tcPr>
            <w:tcW w:type="dxa" w:w="2606"/>
            <w:vAlign w:val="top"/>
          </w:tcPr>
          <w:p>
            <w:pPr>
              <w:spacing w:after="60" w:before="60" w:line="252" w:lineRule="auto"/>
            </w:pPr>
            <w:r>
              <w:rPr>
                <w:b w:val="0"/>
                <w:sz w:val="18"/>
              </w:rPr>
              <w:t>2.61 (0.64-10.61) p = 0.180</w:t>
            </w:r>
          </w:p>
        </w:tc>
      </w:tr>
    </w:tbl>
    <w:p>
      <w:pPr>
        <w:spacing w:after="40"/>
      </w:pPr>
    </w:p>
    <w:p>
      <w:pPr/>
      <w:r>
        <w:t>Cells show hazard ratio (95% confidence interval) and two-sided exploratory p value. Reference categories: male recorded gender; index years 2000-2011; no recorded symptom code among patients with available diagnoses. unknown dx indicates unavailable index diagnoses. The model retains no-code symptom flags plus this indicator for unknown records; no-code is not verified clinical absence.</w:t>
      </w:r>
    </w:p>
    <w:p>
      <w:pPr/>
      <w:r>
        <w:t>Calendar-era indicators are 2012-2015 and 2016 onward. Colonoscopy includes abdominal pain and constipation; rectal bleeding is omitted because its exposed group has zero events. EGD includes abdominal pain, heartburn and dysphagia. Verified index age, complete baseline comorbidity and provider-change measures are unavailable. Hazard ratios are not risk ratios, and residual confounding and coding-era effects remain.</w:t>
      </w:r>
    </w:p>
    <w:p>
      <w:pPr>
        <w:pStyle w:val="Heading1"/>
        <w:pageBreakBefore/>
      </w:pPr>
      <w:r>
        <w:t>EGD hazard ratios</w:t>
      </w:r>
    </w:p>
    <w:tbl>
      <w:tblPr>
        <w:tblW w:type="auto" w:w="0"/>
        <w:tblLayout w:type="fixed"/>
        <w:tblLook w:firstColumn="1" w:firstRow="1" w:lastColumn="0" w:lastRow="0" w:noHBand="0" w:noVBand="1" w:val="04A0"/>
      </w:tblPr>
      <w:tblGrid>
        <w:gridCol w:w="2592"/>
        <w:gridCol w:w="2621"/>
        <w:gridCol w:w="2621"/>
        <w:gridCol w:w="2606"/>
      </w:tblGrid>
      <w:tr>
        <w:trPr>
          <w:cantSplit/>
          <w:tblHeader/>
        </w:trPr>
        <w:tc>
          <w:tcPr>
            <w:tcW w:type="dxa" w:w="2592"/>
            <w:vAlign w:val="top"/>
            <w:shd w:fill="E8EDF1"/>
          </w:tcPr>
          <w:p>
            <w:pPr>
              <w:spacing w:after="60" w:before="60" w:line="252" w:lineRule="auto"/>
            </w:pPr>
            <w:r>
              <w:rPr>
                <w:b/>
                <w:sz w:val="18"/>
              </w:rPr>
              <w:t>Predictor</w:t>
            </w:r>
          </w:p>
        </w:tc>
        <w:tc>
          <w:tcPr>
            <w:tcW w:type="dxa" w:w="2621"/>
            <w:vAlign w:val="top"/>
            <w:shd w:fill="E8EDF1"/>
          </w:tcPr>
          <w:p>
            <w:pPr>
              <w:spacing w:after="60" w:before="60" w:line="252" w:lineRule="auto"/>
            </w:pPr>
            <w:r>
              <w:rPr>
                <w:b/>
                <w:sz w:val="18"/>
              </w:rPr>
              <w:t>Calendar rule</w:t>
            </w:r>
          </w:p>
        </w:tc>
        <w:tc>
          <w:tcPr>
            <w:tcW w:type="dxa" w:w="2621"/>
            <w:vAlign w:val="top"/>
            <w:shd w:fill="E8EDF1"/>
          </w:tcPr>
          <w:p>
            <w:pPr>
              <w:spacing w:after="60" w:before="60" w:line="252" w:lineRule="auto"/>
            </w:pPr>
            <w:r>
              <w:rPr>
                <w:b/>
                <w:sz w:val="18"/>
              </w:rPr>
              <w:t>Contact proxy</w:t>
            </w:r>
          </w:p>
        </w:tc>
        <w:tc>
          <w:tcPr>
            <w:tcW w:type="dxa" w:w="2606"/>
            <w:vAlign w:val="top"/>
            <w:shd w:fill="E8EDF1"/>
          </w:tcPr>
          <w:p>
            <w:pPr>
              <w:spacing w:after="60" w:before="60" w:line="252" w:lineRule="auto"/>
            </w:pPr>
            <w:r>
              <w:rPr>
                <w:b/>
                <w:sz w:val="18"/>
              </w:rPr>
              <w:t>Appointment proxy</w:t>
            </w:r>
          </w:p>
        </w:tc>
      </w:tr>
      <w:tr>
        <w:trPr>
          <w:cantSplit/>
        </w:trPr>
        <w:tc>
          <w:tcPr>
            <w:tcW w:type="dxa" w:w="2592"/>
            <w:vAlign w:val="top"/>
          </w:tcPr>
          <w:p>
            <w:pPr>
              <w:spacing w:after="60" w:before="60" w:line="252" w:lineRule="auto"/>
            </w:pPr>
            <w:r>
              <w:rPr>
                <w:b w:val="0"/>
                <w:sz w:val="18"/>
              </w:rPr>
              <w:t>female</w:t>
            </w:r>
          </w:p>
        </w:tc>
        <w:tc>
          <w:tcPr>
            <w:tcW w:type="dxa" w:w="2621"/>
            <w:vAlign w:val="top"/>
          </w:tcPr>
          <w:p>
            <w:pPr>
              <w:spacing w:after="60" w:before="60" w:line="252" w:lineRule="auto"/>
            </w:pPr>
            <w:r>
              <w:rPr>
                <w:b w:val="0"/>
                <w:sz w:val="18"/>
              </w:rPr>
              <w:t>0.77 (0.71-0.82) p &lt;0.001</w:t>
            </w:r>
          </w:p>
        </w:tc>
        <w:tc>
          <w:tcPr>
            <w:tcW w:type="dxa" w:w="2621"/>
            <w:vAlign w:val="top"/>
          </w:tcPr>
          <w:p>
            <w:pPr>
              <w:spacing w:after="60" w:before="60" w:line="252" w:lineRule="auto"/>
            </w:pPr>
            <w:r>
              <w:rPr>
                <w:b w:val="0"/>
                <w:sz w:val="18"/>
              </w:rPr>
              <w:t>0.74 (0.69-0.79) p &lt;0.001</w:t>
            </w:r>
          </w:p>
        </w:tc>
        <w:tc>
          <w:tcPr>
            <w:tcW w:type="dxa" w:w="2606"/>
            <w:vAlign w:val="top"/>
          </w:tcPr>
          <w:p>
            <w:pPr>
              <w:spacing w:after="60" w:before="60" w:line="252" w:lineRule="auto"/>
            </w:pPr>
            <w:r>
              <w:rPr>
                <w:b w:val="0"/>
                <w:sz w:val="18"/>
              </w:rPr>
              <w:t>0.74 (0.68-0.79) p &lt;0.001</w:t>
            </w:r>
          </w:p>
        </w:tc>
      </w:tr>
      <w:tr>
        <w:trPr>
          <w:cantSplit/>
        </w:trPr>
        <w:tc>
          <w:tcPr>
            <w:tcW w:type="dxa" w:w="2592"/>
            <w:vAlign w:val="top"/>
          </w:tcPr>
          <w:p>
            <w:pPr>
              <w:spacing w:after="60" w:before="60" w:line="252" w:lineRule="auto"/>
            </w:pPr>
            <w:r>
              <w:rPr>
                <w:b w:val="0"/>
                <w:sz w:val="18"/>
              </w:rPr>
              <w:t>era 2012 2015</w:t>
            </w:r>
          </w:p>
        </w:tc>
        <w:tc>
          <w:tcPr>
            <w:tcW w:type="dxa" w:w="2621"/>
            <w:vAlign w:val="top"/>
          </w:tcPr>
          <w:p>
            <w:pPr>
              <w:spacing w:after="60" w:before="60" w:line="252" w:lineRule="auto"/>
            </w:pPr>
            <w:r>
              <w:rPr>
                <w:b w:val="0"/>
                <w:sz w:val="18"/>
              </w:rPr>
              <w:t>0.95 (0.86-1.05) p = 0.297</w:t>
            </w:r>
          </w:p>
        </w:tc>
        <w:tc>
          <w:tcPr>
            <w:tcW w:type="dxa" w:w="2621"/>
            <w:vAlign w:val="top"/>
          </w:tcPr>
          <w:p>
            <w:pPr>
              <w:spacing w:after="60" w:before="60" w:line="252" w:lineRule="auto"/>
            </w:pPr>
            <w:r>
              <w:rPr>
                <w:b w:val="0"/>
                <w:sz w:val="18"/>
              </w:rPr>
              <w:t>1.32 (1.20-1.46) p &lt;0.001</w:t>
            </w:r>
          </w:p>
        </w:tc>
        <w:tc>
          <w:tcPr>
            <w:tcW w:type="dxa" w:w="2606"/>
            <w:vAlign w:val="top"/>
          </w:tcPr>
          <w:p>
            <w:pPr>
              <w:spacing w:after="60" w:before="60" w:line="252" w:lineRule="auto"/>
            </w:pPr>
            <w:r>
              <w:rPr>
                <w:b w:val="0"/>
                <w:sz w:val="18"/>
              </w:rPr>
              <w:t>1.25 (1.13-1.38) p &lt;0.001</w:t>
            </w:r>
          </w:p>
        </w:tc>
      </w:tr>
      <w:tr>
        <w:trPr>
          <w:cantSplit/>
        </w:trPr>
        <w:tc>
          <w:tcPr>
            <w:tcW w:type="dxa" w:w="2592"/>
            <w:vAlign w:val="top"/>
          </w:tcPr>
          <w:p>
            <w:pPr>
              <w:spacing w:after="60" w:before="60" w:line="252" w:lineRule="auto"/>
            </w:pPr>
            <w:r>
              <w:rPr>
                <w:b w:val="0"/>
                <w:sz w:val="18"/>
              </w:rPr>
              <w:t>era 2016 plus</w:t>
            </w:r>
          </w:p>
        </w:tc>
        <w:tc>
          <w:tcPr>
            <w:tcW w:type="dxa" w:w="2621"/>
            <w:vAlign w:val="top"/>
          </w:tcPr>
          <w:p>
            <w:pPr>
              <w:spacing w:after="60" w:before="60" w:line="252" w:lineRule="auto"/>
            </w:pPr>
            <w:r>
              <w:rPr>
                <w:b w:val="0"/>
                <w:sz w:val="18"/>
              </w:rPr>
              <w:t>0.92 (0.84-1.01) p = 0.084</w:t>
            </w:r>
          </w:p>
        </w:tc>
        <w:tc>
          <w:tcPr>
            <w:tcW w:type="dxa" w:w="2621"/>
            <w:vAlign w:val="top"/>
          </w:tcPr>
          <w:p>
            <w:pPr>
              <w:spacing w:after="60" w:before="60" w:line="252" w:lineRule="auto"/>
            </w:pPr>
            <w:r>
              <w:rPr>
                <w:b w:val="0"/>
                <w:sz w:val="18"/>
              </w:rPr>
              <w:t>2.10 (1.92-2.30) p &lt;0.001</w:t>
            </w:r>
          </w:p>
        </w:tc>
        <w:tc>
          <w:tcPr>
            <w:tcW w:type="dxa" w:w="2606"/>
            <w:vAlign w:val="top"/>
          </w:tcPr>
          <w:p>
            <w:pPr>
              <w:spacing w:after="60" w:before="60" w:line="252" w:lineRule="auto"/>
            </w:pPr>
            <w:r>
              <w:rPr>
                <w:b w:val="0"/>
                <w:sz w:val="18"/>
              </w:rPr>
              <w:t>1.96 (1.79-2.14) p &lt;0.001</w:t>
            </w:r>
          </w:p>
        </w:tc>
      </w:tr>
      <w:tr>
        <w:trPr>
          <w:cantSplit/>
        </w:trPr>
        <w:tc>
          <w:tcPr>
            <w:tcW w:type="dxa" w:w="2592"/>
            <w:vAlign w:val="top"/>
          </w:tcPr>
          <w:p>
            <w:pPr>
              <w:spacing w:after="60" w:before="60" w:line="252" w:lineRule="auto"/>
            </w:pPr>
            <w:r>
              <w:rPr>
                <w:b w:val="0"/>
                <w:sz w:val="18"/>
              </w:rPr>
              <w:t>abdominal pain</w:t>
            </w:r>
          </w:p>
        </w:tc>
        <w:tc>
          <w:tcPr>
            <w:tcW w:type="dxa" w:w="2621"/>
            <w:vAlign w:val="top"/>
          </w:tcPr>
          <w:p>
            <w:pPr>
              <w:spacing w:after="60" w:before="60" w:line="252" w:lineRule="auto"/>
            </w:pPr>
            <w:r>
              <w:rPr>
                <w:b w:val="0"/>
                <w:sz w:val="18"/>
              </w:rPr>
              <w:t>0.52 (0.47-0.57) p &lt;0.001</w:t>
            </w:r>
          </w:p>
        </w:tc>
        <w:tc>
          <w:tcPr>
            <w:tcW w:type="dxa" w:w="2621"/>
            <w:vAlign w:val="top"/>
          </w:tcPr>
          <w:p>
            <w:pPr>
              <w:spacing w:after="60" w:before="60" w:line="252" w:lineRule="auto"/>
            </w:pPr>
            <w:r>
              <w:rPr>
                <w:b w:val="0"/>
                <w:sz w:val="18"/>
              </w:rPr>
              <w:t>0.83 (0.75-0.91) p &lt;0.001</w:t>
            </w:r>
          </w:p>
        </w:tc>
        <w:tc>
          <w:tcPr>
            <w:tcW w:type="dxa" w:w="2606"/>
            <w:vAlign w:val="top"/>
          </w:tcPr>
          <w:p>
            <w:pPr>
              <w:spacing w:after="60" w:before="60" w:line="252" w:lineRule="auto"/>
            </w:pPr>
            <w:r>
              <w:rPr>
                <w:b w:val="0"/>
                <w:sz w:val="18"/>
              </w:rPr>
              <w:t>0.84 (0.76-0.92) p &lt;0.001</w:t>
            </w:r>
          </w:p>
        </w:tc>
      </w:tr>
      <w:tr>
        <w:trPr>
          <w:cantSplit/>
        </w:trPr>
        <w:tc>
          <w:tcPr>
            <w:tcW w:type="dxa" w:w="2592"/>
            <w:vAlign w:val="top"/>
          </w:tcPr>
          <w:p>
            <w:pPr>
              <w:spacing w:after="60" w:before="60" w:line="252" w:lineRule="auto"/>
            </w:pPr>
            <w:r>
              <w:rPr>
                <w:b w:val="0"/>
                <w:sz w:val="18"/>
              </w:rPr>
              <w:t>heartburn</w:t>
            </w:r>
          </w:p>
        </w:tc>
        <w:tc>
          <w:tcPr>
            <w:tcW w:type="dxa" w:w="2621"/>
            <w:vAlign w:val="top"/>
          </w:tcPr>
          <w:p>
            <w:pPr>
              <w:spacing w:after="60" w:before="60" w:line="252" w:lineRule="auto"/>
            </w:pPr>
            <w:r>
              <w:rPr>
                <w:b w:val="0"/>
                <w:sz w:val="18"/>
              </w:rPr>
              <w:t>0.40 (0.33-0.48) p &lt;0.001</w:t>
            </w:r>
          </w:p>
        </w:tc>
        <w:tc>
          <w:tcPr>
            <w:tcW w:type="dxa" w:w="2621"/>
            <w:vAlign w:val="top"/>
          </w:tcPr>
          <w:p>
            <w:pPr>
              <w:spacing w:after="60" w:before="60" w:line="252" w:lineRule="auto"/>
            </w:pPr>
            <w:r>
              <w:rPr>
                <w:b w:val="0"/>
                <w:sz w:val="18"/>
              </w:rPr>
              <w:t>0.72 (0.59-0.86) p &lt;0.001</w:t>
            </w:r>
          </w:p>
        </w:tc>
        <w:tc>
          <w:tcPr>
            <w:tcW w:type="dxa" w:w="2606"/>
            <w:vAlign w:val="top"/>
          </w:tcPr>
          <w:p>
            <w:pPr>
              <w:spacing w:after="60" w:before="60" w:line="252" w:lineRule="auto"/>
            </w:pPr>
            <w:r>
              <w:rPr>
                <w:b w:val="0"/>
                <w:sz w:val="18"/>
              </w:rPr>
              <w:t>0.71 (0.59-0.86) p &lt;0.001</w:t>
            </w:r>
          </w:p>
        </w:tc>
      </w:tr>
      <w:tr>
        <w:trPr>
          <w:cantSplit/>
        </w:trPr>
        <w:tc>
          <w:tcPr>
            <w:tcW w:type="dxa" w:w="2592"/>
            <w:vAlign w:val="top"/>
          </w:tcPr>
          <w:p>
            <w:pPr>
              <w:spacing w:after="60" w:before="60" w:line="252" w:lineRule="auto"/>
            </w:pPr>
            <w:r>
              <w:rPr>
                <w:b w:val="0"/>
                <w:sz w:val="18"/>
              </w:rPr>
              <w:t>dysphagia</w:t>
            </w:r>
          </w:p>
        </w:tc>
        <w:tc>
          <w:tcPr>
            <w:tcW w:type="dxa" w:w="2621"/>
            <w:vAlign w:val="top"/>
          </w:tcPr>
          <w:p>
            <w:pPr>
              <w:spacing w:after="60" w:before="60" w:line="252" w:lineRule="auto"/>
            </w:pPr>
            <w:r>
              <w:rPr>
                <w:b w:val="0"/>
                <w:sz w:val="18"/>
              </w:rPr>
              <w:t>1.05 (0.95-1.15) p = 0.331</w:t>
            </w:r>
          </w:p>
        </w:tc>
        <w:tc>
          <w:tcPr>
            <w:tcW w:type="dxa" w:w="2621"/>
            <w:vAlign w:val="top"/>
          </w:tcPr>
          <w:p>
            <w:pPr>
              <w:spacing w:after="60" w:before="60" w:line="252" w:lineRule="auto"/>
            </w:pPr>
            <w:r>
              <w:rPr>
                <w:b w:val="0"/>
                <w:sz w:val="18"/>
              </w:rPr>
              <w:t>1.46 (1.33-1.59) p &lt;0.001</w:t>
            </w:r>
          </w:p>
        </w:tc>
        <w:tc>
          <w:tcPr>
            <w:tcW w:type="dxa" w:w="2606"/>
            <w:vAlign w:val="top"/>
          </w:tcPr>
          <w:p>
            <w:pPr>
              <w:spacing w:after="60" w:before="60" w:line="252" w:lineRule="auto"/>
            </w:pPr>
            <w:r>
              <w:rPr>
                <w:b w:val="0"/>
                <w:sz w:val="18"/>
              </w:rPr>
              <w:t>1.43 (1.30-1.56) p &lt;0.001</w:t>
            </w:r>
          </w:p>
        </w:tc>
      </w:tr>
      <w:tr>
        <w:trPr>
          <w:cantSplit/>
        </w:trPr>
        <w:tc>
          <w:tcPr>
            <w:tcW w:type="dxa" w:w="2592"/>
            <w:vAlign w:val="top"/>
          </w:tcPr>
          <w:p>
            <w:pPr>
              <w:spacing w:after="60" w:before="60" w:line="252" w:lineRule="auto"/>
            </w:pPr>
            <w:r>
              <w:rPr>
                <w:b w:val="0"/>
                <w:sz w:val="18"/>
              </w:rPr>
              <w:t>unknown dx</w:t>
            </w:r>
          </w:p>
        </w:tc>
        <w:tc>
          <w:tcPr>
            <w:tcW w:type="dxa" w:w="2621"/>
            <w:vAlign w:val="top"/>
          </w:tcPr>
          <w:p>
            <w:pPr>
              <w:spacing w:after="60" w:before="60" w:line="252" w:lineRule="auto"/>
            </w:pPr>
            <w:r>
              <w:rPr>
                <w:b w:val="0"/>
                <w:sz w:val="18"/>
              </w:rPr>
              <w:t>2.20 (0.98-4.90) p = 0.054</w:t>
            </w:r>
          </w:p>
        </w:tc>
        <w:tc>
          <w:tcPr>
            <w:tcW w:type="dxa" w:w="2621"/>
            <w:vAlign w:val="top"/>
          </w:tcPr>
          <w:p>
            <w:pPr>
              <w:spacing w:after="60" w:before="60" w:line="252" w:lineRule="auto"/>
            </w:pPr>
            <w:r>
              <w:rPr>
                <w:b w:val="0"/>
                <w:sz w:val="18"/>
              </w:rPr>
              <w:t>5.35 (2.40-11.93) p &lt;0.001</w:t>
            </w:r>
          </w:p>
        </w:tc>
        <w:tc>
          <w:tcPr>
            <w:tcW w:type="dxa" w:w="2606"/>
            <w:vAlign w:val="top"/>
          </w:tcPr>
          <w:p>
            <w:pPr>
              <w:spacing w:after="60" w:before="60" w:line="252" w:lineRule="auto"/>
            </w:pPr>
            <w:r>
              <w:rPr>
                <w:b w:val="0"/>
                <w:sz w:val="18"/>
              </w:rPr>
              <w:t>4.93 (2.21-11.00) p &lt;0.001</w:t>
            </w:r>
          </w:p>
        </w:tc>
      </w:tr>
    </w:tbl>
    <w:p>
      <w:pPr>
        <w:spacing w:after="40"/>
      </w:pPr>
    </w:p>
    <w:p>
      <w:pPr/>
      <w:r>
        <w:t>Cells show hazard ratio (95% confidence interval) and two-sided exploratory p value. Reference categories: male recorded gender; index years 2000-2011; no recorded symptom code among patients with available diagnoses. unknown dx indicates unavailable index diagnoses. The model retains no-code symptom flags plus this indicator for unknown records; no-code is not verified clinical absence.</w:t>
      </w:r>
    </w:p>
    <w:p>
      <w:pPr/>
      <w:r>
        <w:t>Calendar-era indicators are 2012-2015 and 2016 onward. Colonoscopy includes abdominal pain and constipation; rectal bleeding is omitted because its exposed group has zero events. EGD includes abdominal pain, heartburn and dysphagia. Verified index age, complete baseline comorbidity and provider-change measures are unavailable. Hazard ratios are not risk ratios, and residual confounding and coding-era effects remain.</w:t>
      </w:r>
    </w:p>
    <w:p>
      <w:pPr/>
      <w:r>
        <w:t>The 2016 onward era estimate changes from approximately 0.92 under calendar follow-up to 2.10 under the contact proxy. This reversal reinforces the dependence of associations on observation selection; it is not evidence of a proven increase or decrease in underlying clinical utilization over time.</w:t>
      </w:r>
    </w:p>
    <w:p>
      <w:pPr>
        <w:pStyle w:val="Heading1"/>
        <w:pageBreakBefore/>
      </w:pPr>
      <w:r>
        <w:t>Proportional hazards diagnostics and model limits</w:t>
      </w:r>
    </w:p>
    <w:tbl>
      <w:tblPr>
        <w:tblW w:type="auto" w:w="0"/>
        <w:tblLayout w:type="fixed"/>
        <w:tblLook w:firstColumn="1" w:firstRow="1" w:lastColumn="0" w:lastRow="0" w:noHBand="0" w:noVBand="1" w:val="04A0"/>
      </w:tblPr>
      <w:tblGrid>
        <w:gridCol w:w="2592"/>
        <w:gridCol w:w="2621"/>
        <w:gridCol w:w="2621"/>
        <w:gridCol w:w="2606"/>
      </w:tblGrid>
      <w:tr>
        <w:trPr>
          <w:cantSplit/>
          <w:tblHeader/>
        </w:trPr>
        <w:tc>
          <w:tcPr>
            <w:tcW w:type="dxa" w:w="2592"/>
            <w:vAlign w:val="top"/>
            <w:shd w:fill="E8EDF1"/>
          </w:tcPr>
          <w:p>
            <w:pPr>
              <w:spacing w:after="60" w:before="60" w:line="252" w:lineRule="auto"/>
            </w:pPr>
            <w:r>
              <w:rPr>
                <w:b/>
                <w:sz w:val="18"/>
              </w:rPr>
              <w:t>Predictor</w:t>
            </w:r>
          </w:p>
        </w:tc>
        <w:tc>
          <w:tcPr>
            <w:tcW w:type="dxa" w:w="2621"/>
            <w:vAlign w:val="top"/>
            <w:shd w:fill="E8EDF1"/>
          </w:tcPr>
          <w:p>
            <w:pPr>
              <w:spacing w:after="60" w:before="60" w:line="252" w:lineRule="auto"/>
            </w:pPr>
            <w:r>
              <w:rPr>
                <w:b/>
                <w:sz w:val="18"/>
              </w:rPr>
              <w:t>Calendar p</w:t>
            </w:r>
          </w:p>
        </w:tc>
        <w:tc>
          <w:tcPr>
            <w:tcW w:type="dxa" w:w="2621"/>
            <w:vAlign w:val="top"/>
            <w:shd w:fill="E8EDF1"/>
          </w:tcPr>
          <w:p>
            <w:pPr>
              <w:spacing w:after="60" w:before="60" w:line="252" w:lineRule="auto"/>
            </w:pPr>
            <w:r>
              <w:rPr>
                <w:b/>
                <w:sz w:val="18"/>
              </w:rPr>
              <w:t>Contact p</w:t>
            </w:r>
          </w:p>
        </w:tc>
        <w:tc>
          <w:tcPr>
            <w:tcW w:type="dxa" w:w="2606"/>
            <w:vAlign w:val="top"/>
            <w:shd w:fill="E8EDF1"/>
          </w:tcPr>
          <w:p>
            <w:pPr>
              <w:spacing w:after="60" w:before="60" w:line="252" w:lineRule="auto"/>
            </w:pPr>
            <w:r>
              <w:rPr>
                <w:b/>
                <w:sz w:val="18"/>
              </w:rPr>
              <w:t>Appointment p</w:t>
            </w:r>
          </w:p>
        </w:tc>
      </w:tr>
      <w:tr>
        <w:trPr>
          <w:cantSplit/>
        </w:trPr>
        <w:tc>
          <w:tcPr>
            <w:tcW w:type="dxa" w:w="2592"/>
            <w:vAlign w:val="top"/>
          </w:tcPr>
          <w:p>
            <w:pPr>
              <w:spacing w:after="60" w:before="60" w:line="252" w:lineRule="auto"/>
            </w:pPr>
            <w:r>
              <w:rPr>
                <w:b w:val="0"/>
                <w:sz w:val="18"/>
              </w:rPr>
              <w:t>Colonoscopy / female</w:t>
            </w:r>
          </w:p>
        </w:tc>
        <w:tc>
          <w:tcPr>
            <w:tcW w:type="dxa" w:w="2621"/>
            <w:vAlign w:val="top"/>
          </w:tcPr>
          <w:p>
            <w:pPr>
              <w:spacing w:after="60" w:before="60" w:line="252" w:lineRule="auto"/>
            </w:pPr>
            <w:r>
              <w:rPr>
                <w:b w:val="0"/>
                <w:sz w:val="18"/>
              </w:rPr>
              <w:t>0.316</w:t>
            </w:r>
          </w:p>
        </w:tc>
        <w:tc>
          <w:tcPr>
            <w:tcW w:type="dxa" w:w="2621"/>
            <w:vAlign w:val="top"/>
          </w:tcPr>
          <w:p>
            <w:pPr>
              <w:spacing w:after="60" w:before="60" w:line="252" w:lineRule="auto"/>
            </w:pPr>
            <w:r>
              <w:rPr>
                <w:b w:val="0"/>
                <w:sz w:val="18"/>
              </w:rPr>
              <w:t>0.185</w:t>
            </w:r>
          </w:p>
        </w:tc>
        <w:tc>
          <w:tcPr>
            <w:tcW w:type="dxa" w:w="2606"/>
            <w:vAlign w:val="top"/>
          </w:tcPr>
          <w:p>
            <w:pPr>
              <w:spacing w:after="60" w:before="60" w:line="252" w:lineRule="auto"/>
            </w:pPr>
            <w:r>
              <w:rPr>
                <w:b w:val="0"/>
                <w:sz w:val="18"/>
              </w:rPr>
              <w:t>0.228</w:t>
            </w:r>
          </w:p>
        </w:tc>
      </w:tr>
      <w:tr>
        <w:trPr>
          <w:cantSplit/>
        </w:trPr>
        <w:tc>
          <w:tcPr>
            <w:tcW w:type="dxa" w:w="2592"/>
            <w:vAlign w:val="top"/>
          </w:tcPr>
          <w:p>
            <w:pPr>
              <w:spacing w:after="60" w:before="60" w:line="252" w:lineRule="auto"/>
            </w:pPr>
            <w:r>
              <w:rPr>
                <w:b w:val="0"/>
                <w:sz w:val="18"/>
              </w:rPr>
              <w:t>Colonoscopy / era 2012 2015</w:t>
            </w:r>
          </w:p>
        </w:tc>
        <w:tc>
          <w:tcPr>
            <w:tcW w:type="dxa" w:w="2621"/>
            <w:vAlign w:val="top"/>
          </w:tcPr>
          <w:p>
            <w:pPr>
              <w:spacing w:after="60" w:before="60" w:line="252" w:lineRule="auto"/>
            </w:pPr>
            <w:r>
              <w:rPr>
                <w:b w:val="0"/>
                <w:sz w:val="18"/>
              </w:rPr>
              <w:t>0.126</w:t>
            </w:r>
          </w:p>
        </w:tc>
        <w:tc>
          <w:tcPr>
            <w:tcW w:type="dxa" w:w="2621"/>
            <w:vAlign w:val="top"/>
          </w:tcPr>
          <w:p>
            <w:pPr>
              <w:spacing w:after="60" w:before="60" w:line="252" w:lineRule="auto"/>
            </w:pPr>
            <w:r>
              <w:rPr>
                <w:b w:val="0"/>
                <w:sz w:val="18"/>
              </w:rPr>
              <w:t>0.741</w:t>
            </w:r>
          </w:p>
        </w:tc>
        <w:tc>
          <w:tcPr>
            <w:tcW w:type="dxa" w:w="2606"/>
            <w:vAlign w:val="top"/>
          </w:tcPr>
          <w:p>
            <w:pPr>
              <w:spacing w:after="60" w:before="60" w:line="252" w:lineRule="auto"/>
            </w:pPr>
            <w:r>
              <w:rPr>
                <w:b w:val="0"/>
                <w:sz w:val="18"/>
              </w:rPr>
              <w:t>0.812</w:t>
            </w:r>
          </w:p>
        </w:tc>
      </w:tr>
      <w:tr>
        <w:trPr>
          <w:cantSplit/>
        </w:trPr>
        <w:tc>
          <w:tcPr>
            <w:tcW w:type="dxa" w:w="2592"/>
            <w:vAlign w:val="top"/>
          </w:tcPr>
          <w:p>
            <w:pPr>
              <w:spacing w:after="60" w:before="60" w:line="252" w:lineRule="auto"/>
            </w:pPr>
            <w:r>
              <w:rPr>
                <w:b w:val="0"/>
                <w:sz w:val="18"/>
              </w:rPr>
              <w:t>Colonoscopy / era 2016 plus</w:t>
            </w:r>
          </w:p>
        </w:tc>
        <w:tc>
          <w:tcPr>
            <w:tcW w:type="dxa" w:w="2621"/>
            <w:vAlign w:val="top"/>
          </w:tcPr>
          <w:p>
            <w:pPr>
              <w:spacing w:after="60" w:before="60" w:line="252" w:lineRule="auto"/>
            </w:pPr>
            <w:r>
              <w:rPr>
                <w:b w:val="0"/>
                <w:sz w:val="18"/>
              </w:rPr>
              <w:t>0.002</w:t>
            </w:r>
          </w:p>
        </w:tc>
        <w:tc>
          <w:tcPr>
            <w:tcW w:type="dxa" w:w="2621"/>
            <w:vAlign w:val="top"/>
          </w:tcPr>
          <w:p>
            <w:pPr>
              <w:spacing w:after="60" w:before="60" w:line="252" w:lineRule="auto"/>
            </w:pPr>
            <w:r>
              <w:rPr>
                <w:b w:val="0"/>
                <w:sz w:val="18"/>
              </w:rPr>
              <w:t>0.238</w:t>
            </w:r>
          </w:p>
        </w:tc>
        <w:tc>
          <w:tcPr>
            <w:tcW w:type="dxa" w:w="2606"/>
            <w:vAlign w:val="top"/>
          </w:tcPr>
          <w:p>
            <w:pPr>
              <w:spacing w:after="60" w:before="60" w:line="252" w:lineRule="auto"/>
            </w:pPr>
            <w:r>
              <w:rPr>
                <w:b w:val="0"/>
                <w:sz w:val="18"/>
              </w:rPr>
              <w:t>0.156</w:t>
            </w:r>
          </w:p>
        </w:tc>
      </w:tr>
      <w:tr>
        <w:trPr>
          <w:cantSplit/>
        </w:trPr>
        <w:tc>
          <w:tcPr>
            <w:tcW w:type="dxa" w:w="2592"/>
            <w:vAlign w:val="top"/>
          </w:tcPr>
          <w:p>
            <w:pPr>
              <w:spacing w:after="60" w:before="60" w:line="252" w:lineRule="auto"/>
            </w:pPr>
            <w:r>
              <w:rPr>
                <w:b w:val="0"/>
                <w:sz w:val="18"/>
              </w:rPr>
              <w:t>Colonoscopy / abdominal pain</w:t>
            </w:r>
          </w:p>
        </w:tc>
        <w:tc>
          <w:tcPr>
            <w:tcW w:type="dxa" w:w="2621"/>
            <w:vAlign w:val="top"/>
          </w:tcPr>
          <w:p>
            <w:pPr>
              <w:spacing w:after="60" w:before="60" w:line="252" w:lineRule="auto"/>
            </w:pPr>
            <w:r>
              <w:rPr>
                <w:b w:val="0"/>
                <w:sz w:val="18"/>
              </w:rPr>
              <w:t>0.276</w:t>
            </w:r>
          </w:p>
        </w:tc>
        <w:tc>
          <w:tcPr>
            <w:tcW w:type="dxa" w:w="2621"/>
            <w:vAlign w:val="top"/>
          </w:tcPr>
          <w:p>
            <w:pPr>
              <w:spacing w:after="60" w:before="60" w:line="252" w:lineRule="auto"/>
            </w:pPr>
            <w:r>
              <w:rPr>
                <w:b w:val="0"/>
                <w:sz w:val="18"/>
              </w:rPr>
              <w:t>0.422</w:t>
            </w:r>
          </w:p>
        </w:tc>
        <w:tc>
          <w:tcPr>
            <w:tcW w:type="dxa" w:w="2606"/>
            <w:vAlign w:val="top"/>
          </w:tcPr>
          <w:p>
            <w:pPr>
              <w:spacing w:after="60" w:before="60" w:line="252" w:lineRule="auto"/>
            </w:pPr>
            <w:r>
              <w:rPr>
                <w:b w:val="0"/>
                <w:sz w:val="18"/>
              </w:rPr>
              <w:t>0.293</w:t>
            </w:r>
          </w:p>
        </w:tc>
      </w:tr>
      <w:tr>
        <w:trPr>
          <w:cantSplit/>
        </w:trPr>
        <w:tc>
          <w:tcPr>
            <w:tcW w:type="dxa" w:w="2592"/>
            <w:vAlign w:val="top"/>
          </w:tcPr>
          <w:p>
            <w:pPr>
              <w:spacing w:after="60" w:before="60" w:line="252" w:lineRule="auto"/>
            </w:pPr>
            <w:r>
              <w:rPr>
                <w:b w:val="0"/>
                <w:sz w:val="18"/>
              </w:rPr>
              <w:t>Colonoscopy / constipation</w:t>
            </w:r>
          </w:p>
        </w:tc>
        <w:tc>
          <w:tcPr>
            <w:tcW w:type="dxa" w:w="2621"/>
            <w:vAlign w:val="top"/>
          </w:tcPr>
          <w:p>
            <w:pPr>
              <w:spacing w:after="60" w:before="60" w:line="252" w:lineRule="auto"/>
            </w:pPr>
            <w:r>
              <w:rPr>
                <w:b w:val="0"/>
                <w:sz w:val="18"/>
              </w:rPr>
              <w:t>0.457</w:t>
            </w:r>
          </w:p>
        </w:tc>
        <w:tc>
          <w:tcPr>
            <w:tcW w:type="dxa" w:w="2621"/>
            <w:vAlign w:val="top"/>
          </w:tcPr>
          <w:p>
            <w:pPr>
              <w:spacing w:after="60" w:before="60" w:line="252" w:lineRule="auto"/>
            </w:pPr>
            <w:r>
              <w:rPr>
                <w:b w:val="0"/>
                <w:sz w:val="18"/>
              </w:rPr>
              <w:t>0.478</w:t>
            </w:r>
          </w:p>
        </w:tc>
        <w:tc>
          <w:tcPr>
            <w:tcW w:type="dxa" w:w="2606"/>
            <w:vAlign w:val="top"/>
          </w:tcPr>
          <w:p>
            <w:pPr>
              <w:spacing w:after="60" w:before="60" w:line="252" w:lineRule="auto"/>
            </w:pPr>
            <w:r>
              <w:rPr>
                <w:b w:val="0"/>
                <w:sz w:val="18"/>
              </w:rPr>
              <w:t>0.510</w:t>
            </w:r>
          </w:p>
        </w:tc>
      </w:tr>
      <w:tr>
        <w:trPr>
          <w:cantSplit/>
        </w:trPr>
        <w:tc>
          <w:tcPr>
            <w:tcW w:type="dxa" w:w="2592"/>
            <w:vAlign w:val="top"/>
          </w:tcPr>
          <w:p>
            <w:pPr>
              <w:spacing w:after="60" w:before="60" w:line="252" w:lineRule="auto"/>
            </w:pPr>
            <w:r>
              <w:rPr>
                <w:b w:val="0"/>
                <w:sz w:val="18"/>
              </w:rPr>
              <w:t>Colonoscopy / unknown dx</w:t>
            </w:r>
          </w:p>
        </w:tc>
        <w:tc>
          <w:tcPr>
            <w:tcW w:type="dxa" w:w="2621"/>
            <w:vAlign w:val="top"/>
          </w:tcPr>
          <w:p>
            <w:pPr>
              <w:spacing w:after="60" w:before="60" w:line="252" w:lineRule="auto"/>
            </w:pPr>
            <w:r>
              <w:rPr>
                <w:b w:val="0"/>
                <w:sz w:val="18"/>
              </w:rPr>
              <w:t>0.303</w:t>
            </w:r>
          </w:p>
        </w:tc>
        <w:tc>
          <w:tcPr>
            <w:tcW w:type="dxa" w:w="2621"/>
            <w:vAlign w:val="top"/>
          </w:tcPr>
          <w:p>
            <w:pPr>
              <w:spacing w:after="60" w:before="60" w:line="252" w:lineRule="auto"/>
            </w:pPr>
            <w:r>
              <w:rPr>
                <w:b w:val="0"/>
                <w:sz w:val="18"/>
              </w:rPr>
              <w:t>0.249</w:t>
            </w:r>
          </w:p>
        </w:tc>
        <w:tc>
          <w:tcPr>
            <w:tcW w:type="dxa" w:w="2606"/>
            <w:vAlign w:val="top"/>
          </w:tcPr>
          <w:p>
            <w:pPr>
              <w:spacing w:after="60" w:before="60" w:line="252" w:lineRule="auto"/>
            </w:pPr>
            <w:r>
              <w:rPr>
                <w:b w:val="0"/>
                <w:sz w:val="18"/>
              </w:rPr>
              <w:t>0.309</w:t>
            </w:r>
          </w:p>
        </w:tc>
      </w:tr>
      <w:tr>
        <w:trPr>
          <w:cantSplit/>
        </w:trPr>
        <w:tc>
          <w:tcPr>
            <w:tcW w:type="dxa" w:w="2592"/>
            <w:vAlign w:val="top"/>
          </w:tcPr>
          <w:p>
            <w:pPr>
              <w:spacing w:after="60" w:before="60" w:line="252" w:lineRule="auto"/>
            </w:pPr>
            <w:r>
              <w:rPr>
                <w:b w:val="0"/>
                <w:sz w:val="18"/>
              </w:rPr>
              <w:t>EGD / female</w:t>
            </w:r>
          </w:p>
        </w:tc>
        <w:tc>
          <w:tcPr>
            <w:tcW w:type="dxa" w:w="2621"/>
            <w:vAlign w:val="top"/>
          </w:tcPr>
          <w:p>
            <w:pPr>
              <w:spacing w:after="60" w:before="60" w:line="252" w:lineRule="auto"/>
            </w:pPr>
            <w:r>
              <w:rPr>
                <w:b w:val="0"/>
                <w:sz w:val="18"/>
              </w:rPr>
              <w:t>&lt;0.001</w:t>
            </w:r>
          </w:p>
        </w:tc>
        <w:tc>
          <w:tcPr>
            <w:tcW w:type="dxa" w:w="2621"/>
            <w:vAlign w:val="top"/>
          </w:tcPr>
          <w:p>
            <w:pPr>
              <w:spacing w:after="60" w:before="60" w:line="252" w:lineRule="auto"/>
            </w:pPr>
            <w:r>
              <w:rPr>
                <w:b w:val="0"/>
                <w:sz w:val="18"/>
              </w:rPr>
              <w:t>0.007</w:t>
            </w:r>
          </w:p>
        </w:tc>
        <w:tc>
          <w:tcPr>
            <w:tcW w:type="dxa" w:w="2606"/>
            <w:vAlign w:val="top"/>
          </w:tcPr>
          <w:p>
            <w:pPr>
              <w:spacing w:after="60" w:before="60" w:line="252" w:lineRule="auto"/>
            </w:pPr>
            <w:r>
              <w:rPr>
                <w:b w:val="0"/>
                <w:sz w:val="18"/>
              </w:rPr>
              <w:t>0.013</w:t>
            </w:r>
          </w:p>
        </w:tc>
      </w:tr>
      <w:tr>
        <w:trPr>
          <w:cantSplit/>
        </w:trPr>
        <w:tc>
          <w:tcPr>
            <w:tcW w:type="dxa" w:w="2592"/>
            <w:vAlign w:val="top"/>
          </w:tcPr>
          <w:p>
            <w:pPr>
              <w:spacing w:after="60" w:before="60" w:line="252" w:lineRule="auto"/>
            </w:pPr>
            <w:r>
              <w:rPr>
                <w:b w:val="0"/>
                <w:sz w:val="18"/>
              </w:rPr>
              <w:t>EGD / era 2012 2015</w:t>
            </w:r>
          </w:p>
        </w:tc>
        <w:tc>
          <w:tcPr>
            <w:tcW w:type="dxa" w:w="2621"/>
            <w:vAlign w:val="top"/>
          </w:tcPr>
          <w:p>
            <w:pPr>
              <w:spacing w:after="60" w:before="60" w:line="252" w:lineRule="auto"/>
            </w:pPr>
            <w:r>
              <w:rPr>
                <w:b w:val="0"/>
                <w:sz w:val="18"/>
              </w:rPr>
              <w:t>0.038</w:t>
            </w:r>
          </w:p>
        </w:tc>
        <w:tc>
          <w:tcPr>
            <w:tcW w:type="dxa" w:w="2621"/>
            <w:vAlign w:val="top"/>
          </w:tcPr>
          <w:p>
            <w:pPr>
              <w:spacing w:after="60" w:before="60" w:line="252" w:lineRule="auto"/>
            </w:pPr>
            <w:r>
              <w:rPr>
                <w:b w:val="0"/>
                <w:sz w:val="18"/>
              </w:rPr>
              <w:t>0.168</w:t>
            </w:r>
          </w:p>
        </w:tc>
        <w:tc>
          <w:tcPr>
            <w:tcW w:type="dxa" w:w="2606"/>
            <w:vAlign w:val="top"/>
          </w:tcPr>
          <w:p>
            <w:pPr>
              <w:spacing w:after="60" w:before="60" w:line="252" w:lineRule="auto"/>
            </w:pPr>
            <w:r>
              <w:rPr>
                <w:b w:val="0"/>
                <w:sz w:val="18"/>
              </w:rPr>
              <w:t>0.295</w:t>
            </w:r>
          </w:p>
        </w:tc>
      </w:tr>
      <w:tr>
        <w:trPr>
          <w:cantSplit/>
        </w:trPr>
        <w:tc>
          <w:tcPr>
            <w:tcW w:type="dxa" w:w="2592"/>
            <w:vAlign w:val="top"/>
          </w:tcPr>
          <w:p>
            <w:pPr>
              <w:spacing w:after="60" w:before="60" w:line="252" w:lineRule="auto"/>
            </w:pPr>
            <w:r>
              <w:rPr>
                <w:b w:val="0"/>
                <w:sz w:val="18"/>
              </w:rPr>
              <w:t>EGD / era 2016 plus</w:t>
            </w:r>
          </w:p>
        </w:tc>
        <w:tc>
          <w:tcPr>
            <w:tcW w:type="dxa" w:w="2621"/>
            <w:vAlign w:val="top"/>
          </w:tcPr>
          <w:p>
            <w:pPr>
              <w:spacing w:after="60" w:before="60" w:line="252" w:lineRule="auto"/>
            </w:pPr>
            <w:r>
              <w:rPr>
                <w:b w:val="0"/>
                <w:sz w:val="18"/>
              </w:rPr>
              <w:t>0.937</w:t>
            </w:r>
          </w:p>
        </w:tc>
        <w:tc>
          <w:tcPr>
            <w:tcW w:type="dxa" w:w="2621"/>
            <w:vAlign w:val="top"/>
          </w:tcPr>
          <w:p>
            <w:pPr>
              <w:spacing w:after="60" w:before="60" w:line="252" w:lineRule="auto"/>
            </w:pPr>
            <w:r>
              <w:rPr>
                <w:b w:val="0"/>
                <w:sz w:val="18"/>
              </w:rPr>
              <w:t>0.207</w:t>
            </w:r>
          </w:p>
        </w:tc>
        <w:tc>
          <w:tcPr>
            <w:tcW w:type="dxa" w:w="2606"/>
            <w:vAlign w:val="top"/>
          </w:tcPr>
          <w:p>
            <w:pPr>
              <w:spacing w:after="60" w:before="60" w:line="252" w:lineRule="auto"/>
            </w:pPr>
            <w:r>
              <w:rPr>
                <w:b w:val="0"/>
                <w:sz w:val="18"/>
              </w:rPr>
              <w:t>0.247</w:t>
            </w:r>
          </w:p>
        </w:tc>
      </w:tr>
      <w:tr>
        <w:trPr>
          <w:cantSplit/>
        </w:trPr>
        <w:tc>
          <w:tcPr>
            <w:tcW w:type="dxa" w:w="2592"/>
            <w:vAlign w:val="top"/>
          </w:tcPr>
          <w:p>
            <w:pPr>
              <w:spacing w:after="60" w:before="60" w:line="252" w:lineRule="auto"/>
            </w:pPr>
            <w:r>
              <w:rPr>
                <w:b w:val="0"/>
                <w:sz w:val="18"/>
              </w:rPr>
              <w:t>EGD / abdominal pain</w:t>
            </w:r>
          </w:p>
        </w:tc>
        <w:tc>
          <w:tcPr>
            <w:tcW w:type="dxa" w:w="2621"/>
            <w:vAlign w:val="top"/>
          </w:tcPr>
          <w:p>
            <w:pPr>
              <w:spacing w:after="60" w:before="60" w:line="252" w:lineRule="auto"/>
            </w:pPr>
            <w:r>
              <w:rPr>
                <w:b w:val="0"/>
                <w:sz w:val="18"/>
              </w:rPr>
              <w:t>&lt;0.001</w:t>
            </w:r>
          </w:p>
        </w:tc>
        <w:tc>
          <w:tcPr>
            <w:tcW w:type="dxa" w:w="2621"/>
            <w:vAlign w:val="top"/>
          </w:tcPr>
          <w:p>
            <w:pPr>
              <w:spacing w:after="60" w:before="60" w:line="252" w:lineRule="auto"/>
            </w:pPr>
            <w:r>
              <w:rPr>
                <w:b w:val="0"/>
                <w:sz w:val="18"/>
              </w:rPr>
              <w:t>&lt;0.001</w:t>
            </w:r>
          </w:p>
        </w:tc>
        <w:tc>
          <w:tcPr>
            <w:tcW w:type="dxa" w:w="2606"/>
            <w:vAlign w:val="top"/>
          </w:tcPr>
          <w:p>
            <w:pPr>
              <w:spacing w:after="60" w:before="60" w:line="252" w:lineRule="auto"/>
            </w:pPr>
            <w:r>
              <w:rPr>
                <w:b w:val="0"/>
                <w:sz w:val="18"/>
              </w:rPr>
              <w:t>&lt;0.001</w:t>
            </w:r>
          </w:p>
        </w:tc>
      </w:tr>
      <w:tr>
        <w:trPr>
          <w:cantSplit/>
        </w:trPr>
        <w:tc>
          <w:tcPr>
            <w:tcW w:type="dxa" w:w="2592"/>
            <w:vAlign w:val="top"/>
          </w:tcPr>
          <w:p>
            <w:pPr>
              <w:spacing w:after="60" w:before="60" w:line="252" w:lineRule="auto"/>
            </w:pPr>
            <w:r>
              <w:rPr>
                <w:b w:val="0"/>
                <w:sz w:val="18"/>
              </w:rPr>
              <w:t>EGD / heartburn</w:t>
            </w:r>
          </w:p>
        </w:tc>
        <w:tc>
          <w:tcPr>
            <w:tcW w:type="dxa" w:w="2621"/>
            <w:vAlign w:val="top"/>
          </w:tcPr>
          <w:p>
            <w:pPr>
              <w:spacing w:after="60" w:before="60" w:line="252" w:lineRule="auto"/>
            </w:pPr>
            <w:r>
              <w:rPr>
                <w:b w:val="0"/>
                <w:sz w:val="18"/>
              </w:rPr>
              <w:t>0.684</w:t>
            </w:r>
          </w:p>
        </w:tc>
        <w:tc>
          <w:tcPr>
            <w:tcW w:type="dxa" w:w="2621"/>
            <w:vAlign w:val="top"/>
          </w:tcPr>
          <w:p>
            <w:pPr>
              <w:spacing w:after="60" w:before="60" w:line="252" w:lineRule="auto"/>
            </w:pPr>
            <w:r>
              <w:rPr>
                <w:b w:val="0"/>
                <w:sz w:val="18"/>
              </w:rPr>
              <w:t>0.512</w:t>
            </w:r>
          </w:p>
        </w:tc>
        <w:tc>
          <w:tcPr>
            <w:tcW w:type="dxa" w:w="2606"/>
            <w:vAlign w:val="top"/>
          </w:tcPr>
          <w:p>
            <w:pPr>
              <w:spacing w:after="60" w:before="60" w:line="252" w:lineRule="auto"/>
            </w:pPr>
            <w:r>
              <w:rPr>
                <w:b w:val="0"/>
                <w:sz w:val="18"/>
              </w:rPr>
              <w:t>0.624</w:t>
            </w:r>
          </w:p>
        </w:tc>
      </w:tr>
      <w:tr>
        <w:trPr>
          <w:cantSplit/>
        </w:trPr>
        <w:tc>
          <w:tcPr>
            <w:tcW w:type="dxa" w:w="2592"/>
            <w:vAlign w:val="top"/>
          </w:tcPr>
          <w:p>
            <w:pPr>
              <w:spacing w:after="60" w:before="60" w:line="252" w:lineRule="auto"/>
            </w:pPr>
            <w:r>
              <w:rPr>
                <w:b w:val="0"/>
                <w:sz w:val="18"/>
              </w:rPr>
              <w:t>EGD / dysphagia</w:t>
            </w:r>
          </w:p>
        </w:tc>
        <w:tc>
          <w:tcPr>
            <w:tcW w:type="dxa" w:w="2621"/>
            <w:vAlign w:val="top"/>
          </w:tcPr>
          <w:p>
            <w:pPr>
              <w:spacing w:after="60" w:before="60" w:line="252" w:lineRule="auto"/>
            </w:pPr>
            <w:r>
              <w:rPr>
                <w:b w:val="0"/>
                <w:sz w:val="18"/>
              </w:rPr>
              <w:t>&lt;0.001</w:t>
            </w:r>
          </w:p>
        </w:tc>
        <w:tc>
          <w:tcPr>
            <w:tcW w:type="dxa" w:w="2621"/>
            <w:vAlign w:val="top"/>
          </w:tcPr>
          <w:p>
            <w:pPr>
              <w:spacing w:after="60" w:before="60" w:line="252" w:lineRule="auto"/>
            </w:pPr>
            <w:r>
              <w:rPr>
                <w:b w:val="0"/>
                <w:sz w:val="18"/>
              </w:rPr>
              <w:t>&lt;0.001</w:t>
            </w:r>
          </w:p>
        </w:tc>
        <w:tc>
          <w:tcPr>
            <w:tcW w:type="dxa" w:w="2606"/>
            <w:vAlign w:val="top"/>
          </w:tcPr>
          <w:p>
            <w:pPr>
              <w:spacing w:after="60" w:before="60" w:line="252" w:lineRule="auto"/>
            </w:pPr>
            <w:r>
              <w:rPr>
                <w:b w:val="0"/>
                <w:sz w:val="18"/>
              </w:rPr>
              <w:t>&lt;0.001</w:t>
            </w:r>
          </w:p>
        </w:tc>
      </w:tr>
      <w:tr>
        <w:trPr>
          <w:cantSplit/>
        </w:trPr>
        <w:tc>
          <w:tcPr>
            <w:tcW w:type="dxa" w:w="2592"/>
            <w:vAlign w:val="top"/>
          </w:tcPr>
          <w:p>
            <w:pPr>
              <w:spacing w:after="60" w:before="60" w:line="252" w:lineRule="auto"/>
            </w:pPr>
            <w:r>
              <w:rPr>
                <w:b w:val="0"/>
                <w:sz w:val="18"/>
              </w:rPr>
              <w:t>EGD / unknown dx</w:t>
            </w:r>
          </w:p>
        </w:tc>
        <w:tc>
          <w:tcPr>
            <w:tcW w:type="dxa" w:w="2621"/>
            <w:vAlign w:val="top"/>
          </w:tcPr>
          <w:p>
            <w:pPr>
              <w:spacing w:after="60" w:before="60" w:line="252" w:lineRule="auto"/>
            </w:pPr>
            <w:r>
              <w:rPr>
                <w:b w:val="0"/>
                <w:sz w:val="18"/>
              </w:rPr>
              <w:t>&lt;0.001</w:t>
            </w:r>
          </w:p>
        </w:tc>
        <w:tc>
          <w:tcPr>
            <w:tcW w:type="dxa" w:w="2621"/>
            <w:vAlign w:val="top"/>
          </w:tcPr>
          <w:p>
            <w:pPr>
              <w:spacing w:after="60" w:before="60" w:line="252" w:lineRule="auto"/>
            </w:pPr>
            <w:r>
              <w:rPr>
                <w:b w:val="0"/>
                <w:sz w:val="18"/>
              </w:rPr>
              <w:t>&lt;0.001</w:t>
            </w:r>
          </w:p>
        </w:tc>
        <w:tc>
          <w:tcPr>
            <w:tcW w:type="dxa" w:w="2606"/>
            <w:vAlign w:val="top"/>
          </w:tcPr>
          <w:p>
            <w:pPr>
              <w:spacing w:after="60" w:before="60" w:line="252" w:lineRule="auto"/>
            </w:pPr>
            <w:r>
              <w:rPr>
                <w:b w:val="0"/>
                <w:sz w:val="18"/>
              </w:rPr>
              <w:t>&lt;0.001</w:t>
            </w:r>
          </w:p>
        </w:tc>
      </w:tr>
    </w:tbl>
    <w:p>
      <w:pPr>
        <w:spacing w:after="40"/>
      </w:pPr>
    </w:p>
    <w:p>
      <w:pPr/>
      <w:r>
        <w:t>Rank-transformed Schoenfeld-residual tests. Small p values suggest time-varying associations; multiple tests are exploratory. Five of seven EGD calendar-model terms have p&lt;0.05. Absence of significance does not prove proportional hazards. A single constant HR should not be treated as an adequate description where the assumption is doubtful.</w:t>
      </w:r>
    </w:p>
    <w:p>
      <w:pPr/>
      <w:r>
        <w:t>Early/late analyses split at day 90. Constant or zero-event binary strata are checked before interval fits and any omissions are logged. All eight final interval fits converged without penalization. Full interval results and optimization details are supplied in Early and late hazard ratios.csv and cox_model_audit.json.</w:t>
      </w:r>
    </w:p>
    <w:p>
      <w:pPr/>
      <w:r>
        <w:t>The prepared data/model_*.csv files contain the exact positive-duration input matrices. Follow-up audit.csv, Proportional hazards checks.csv, Adjusted Cox results.csv, Survival estimates and risk sets.csv and cox_verification.json provide the full audit trail. Survival estimates are scenario-dependent sensitivity calculations and must not be quoted as validated two-year incidence. Missing death information precludes a competing-risk analysis.</w:t>
      </w:r>
    </w:p>
    <w:p>
      <w:pPr>
        <w:pStyle w:val="Heading1"/>
        <w:pageBreakBefore/>
      </w:pPr>
      <w:r>
        <w:t>Early and late EGD associations</w:t>
      </w:r>
    </w:p>
    <w:tbl>
      <w:tblPr>
        <w:tblW w:type="auto" w:w="0"/>
        <w:tblLayout w:type="fixed"/>
        <w:tblLook w:firstColumn="1" w:firstRow="1" w:lastColumn="0" w:lastRow="0" w:noHBand="0" w:noVBand="1" w:val="04A0"/>
      </w:tblPr>
      <w:tblGrid>
        <w:gridCol w:w="1584"/>
        <w:gridCol w:w="2218"/>
        <w:gridCol w:w="2218"/>
        <w:gridCol w:w="2218"/>
        <w:gridCol w:w="2203"/>
      </w:tblGrid>
      <w:tr>
        <w:trPr>
          <w:cantSplit/>
          <w:tblHeader/>
        </w:trPr>
        <w:tc>
          <w:tcPr>
            <w:tcW w:type="dxa" w:w="1584"/>
            <w:vAlign w:val="top"/>
            <w:shd w:fill="E8EDF1"/>
          </w:tcPr>
          <w:p>
            <w:pPr>
              <w:spacing w:after="60" w:before="60" w:line="252" w:lineRule="auto"/>
            </w:pPr>
            <w:r>
              <w:rPr>
                <w:b/>
                <w:sz w:val="18"/>
              </w:rPr>
              <w:t>Predictor</w:t>
            </w:r>
          </w:p>
        </w:tc>
        <w:tc>
          <w:tcPr>
            <w:tcW w:type="dxa" w:w="2218"/>
            <w:vAlign w:val="top"/>
            <w:shd w:fill="E8EDF1"/>
          </w:tcPr>
          <w:p>
            <w:pPr>
              <w:spacing w:after="60" w:before="60" w:line="252" w:lineRule="auto"/>
            </w:pPr>
            <w:r>
              <w:rPr>
                <w:b/>
                <w:sz w:val="18"/>
              </w:rPr>
              <w:t>Calendar days 1-90</w:t>
            </w:r>
          </w:p>
        </w:tc>
        <w:tc>
          <w:tcPr>
            <w:tcW w:type="dxa" w:w="2218"/>
            <w:vAlign w:val="top"/>
            <w:shd w:fill="E8EDF1"/>
          </w:tcPr>
          <w:p>
            <w:pPr>
              <w:spacing w:after="60" w:before="60" w:line="252" w:lineRule="auto"/>
            </w:pPr>
            <w:r>
              <w:rPr>
                <w:b/>
                <w:sz w:val="18"/>
              </w:rPr>
              <w:t>Calendar days 91-730</w:t>
            </w:r>
          </w:p>
        </w:tc>
        <w:tc>
          <w:tcPr>
            <w:tcW w:type="dxa" w:w="2218"/>
            <w:vAlign w:val="top"/>
            <w:shd w:fill="E8EDF1"/>
          </w:tcPr>
          <w:p>
            <w:pPr>
              <w:spacing w:after="60" w:before="60" w:line="252" w:lineRule="auto"/>
            </w:pPr>
            <w:r>
              <w:rPr>
                <w:b/>
                <w:sz w:val="18"/>
              </w:rPr>
              <w:t>Contact days 1-90</w:t>
            </w:r>
          </w:p>
        </w:tc>
        <w:tc>
          <w:tcPr>
            <w:tcW w:type="dxa" w:w="2203"/>
            <w:vAlign w:val="top"/>
            <w:shd w:fill="E8EDF1"/>
          </w:tcPr>
          <w:p>
            <w:pPr>
              <w:spacing w:after="60" w:before="60" w:line="252" w:lineRule="auto"/>
            </w:pPr>
            <w:r>
              <w:rPr>
                <w:b/>
                <w:sz w:val="18"/>
              </w:rPr>
              <w:t>Contact days 91-730</w:t>
            </w:r>
          </w:p>
        </w:tc>
      </w:tr>
      <w:tr>
        <w:trPr>
          <w:cantSplit/>
        </w:trPr>
        <w:tc>
          <w:tcPr>
            <w:tcW w:type="dxa" w:w="1584"/>
            <w:vAlign w:val="top"/>
          </w:tcPr>
          <w:p>
            <w:pPr>
              <w:spacing w:after="60" w:before="60" w:line="252" w:lineRule="auto"/>
            </w:pPr>
            <w:r>
              <w:rPr>
                <w:b w:val="0"/>
                <w:sz w:val="18"/>
              </w:rPr>
              <w:t>female</w:t>
            </w:r>
          </w:p>
        </w:tc>
        <w:tc>
          <w:tcPr>
            <w:tcW w:type="dxa" w:w="2218"/>
            <w:vAlign w:val="top"/>
          </w:tcPr>
          <w:p>
            <w:pPr>
              <w:spacing w:after="60" w:before="60" w:line="252" w:lineRule="auto"/>
            </w:pPr>
            <w:r>
              <w:rPr>
                <w:b w:val="0"/>
                <w:sz w:val="18"/>
              </w:rPr>
              <w:t>0.63 (0.53-0.74)</w:t>
            </w:r>
          </w:p>
        </w:tc>
        <w:tc>
          <w:tcPr>
            <w:tcW w:type="dxa" w:w="2218"/>
            <w:vAlign w:val="top"/>
          </w:tcPr>
          <w:p>
            <w:pPr>
              <w:spacing w:after="60" w:before="60" w:line="252" w:lineRule="auto"/>
            </w:pPr>
            <w:r>
              <w:rPr>
                <w:b w:val="0"/>
                <w:sz w:val="18"/>
              </w:rPr>
              <w:t>0.81 (0.74-0.87)</w:t>
            </w:r>
          </w:p>
        </w:tc>
        <w:tc>
          <w:tcPr>
            <w:tcW w:type="dxa" w:w="2218"/>
            <w:vAlign w:val="top"/>
          </w:tcPr>
          <w:p>
            <w:pPr>
              <w:spacing w:after="60" w:before="60" w:line="252" w:lineRule="auto"/>
            </w:pPr>
            <w:r>
              <w:rPr>
                <w:b w:val="0"/>
                <w:sz w:val="18"/>
              </w:rPr>
              <w:t>0.64 (0.55-0.75)</w:t>
            </w:r>
          </w:p>
        </w:tc>
        <w:tc>
          <w:tcPr>
            <w:tcW w:type="dxa" w:w="2203"/>
            <w:vAlign w:val="top"/>
          </w:tcPr>
          <w:p>
            <w:pPr>
              <w:spacing w:after="60" w:before="60" w:line="252" w:lineRule="auto"/>
            </w:pPr>
            <w:r>
              <w:rPr>
                <w:b w:val="0"/>
                <w:sz w:val="18"/>
              </w:rPr>
              <w:t>0.77 (0.71-0.83)</w:t>
            </w:r>
          </w:p>
        </w:tc>
      </w:tr>
      <w:tr>
        <w:trPr>
          <w:cantSplit/>
        </w:trPr>
        <w:tc>
          <w:tcPr>
            <w:tcW w:type="dxa" w:w="1584"/>
            <w:vAlign w:val="top"/>
          </w:tcPr>
          <w:p>
            <w:pPr>
              <w:spacing w:after="60" w:before="60" w:line="252" w:lineRule="auto"/>
            </w:pPr>
            <w:r>
              <w:rPr>
                <w:b w:val="0"/>
                <w:sz w:val="18"/>
              </w:rPr>
              <w:t>era 2012 2015</w:t>
            </w:r>
          </w:p>
        </w:tc>
        <w:tc>
          <w:tcPr>
            <w:tcW w:type="dxa" w:w="2218"/>
            <w:vAlign w:val="top"/>
          </w:tcPr>
          <w:p>
            <w:pPr>
              <w:spacing w:after="60" w:before="60" w:line="252" w:lineRule="auto"/>
            </w:pPr>
            <w:r>
              <w:rPr>
                <w:b w:val="0"/>
                <w:sz w:val="18"/>
              </w:rPr>
              <w:t>1.14 (0.93-1.41)</w:t>
            </w:r>
          </w:p>
        </w:tc>
        <w:tc>
          <w:tcPr>
            <w:tcW w:type="dxa" w:w="2218"/>
            <w:vAlign w:val="top"/>
          </w:tcPr>
          <w:p>
            <w:pPr>
              <w:spacing w:after="60" w:before="60" w:line="252" w:lineRule="auto"/>
            </w:pPr>
            <w:r>
              <w:rPr>
                <w:b w:val="0"/>
                <w:sz w:val="18"/>
              </w:rPr>
              <w:t>0.91 (0.81-1.01)</w:t>
            </w:r>
          </w:p>
        </w:tc>
        <w:tc>
          <w:tcPr>
            <w:tcW w:type="dxa" w:w="2218"/>
            <w:vAlign w:val="top"/>
          </w:tcPr>
          <w:p>
            <w:pPr>
              <w:spacing w:after="60" w:before="60" w:line="252" w:lineRule="auto"/>
            </w:pPr>
            <w:r>
              <w:rPr>
                <w:b w:val="0"/>
                <w:sz w:val="18"/>
              </w:rPr>
              <w:t>1.17 (0.94-1.44)</w:t>
            </w:r>
          </w:p>
        </w:tc>
        <w:tc>
          <w:tcPr>
            <w:tcW w:type="dxa" w:w="2203"/>
            <w:vAlign w:val="top"/>
          </w:tcPr>
          <w:p>
            <w:pPr>
              <w:spacing w:after="60" w:before="60" w:line="252" w:lineRule="auto"/>
            </w:pPr>
            <w:r>
              <w:rPr>
                <w:b w:val="0"/>
                <w:sz w:val="18"/>
              </w:rPr>
              <w:t>1.37 (1.23-1.54)</w:t>
            </w:r>
          </w:p>
        </w:tc>
      </w:tr>
      <w:tr>
        <w:trPr>
          <w:cantSplit/>
        </w:trPr>
        <w:tc>
          <w:tcPr>
            <w:tcW w:type="dxa" w:w="1584"/>
            <w:vAlign w:val="top"/>
          </w:tcPr>
          <w:p>
            <w:pPr>
              <w:spacing w:after="60" w:before="60" w:line="252" w:lineRule="auto"/>
            </w:pPr>
            <w:r>
              <w:rPr>
                <w:b w:val="0"/>
                <w:sz w:val="18"/>
              </w:rPr>
              <w:t>era 2016 plus</w:t>
            </w:r>
          </w:p>
        </w:tc>
        <w:tc>
          <w:tcPr>
            <w:tcW w:type="dxa" w:w="2218"/>
            <w:vAlign w:val="top"/>
          </w:tcPr>
          <w:p>
            <w:pPr>
              <w:spacing w:after="60" w:before="60" w:line="252" w:lineRule="auto"/>
            </w:pPr>
            <w:r>
              <w:rPr>
                <w:b w:val="0"/>
                <w:sz w:val="18"/>
              </w:rPr>
              <w:t>0.97 (0.80-1.18)</w:t>
            </w:r>
          </w:p>
        </w:tc>
        <w:tc>
          <w:tcPr>
            <w:tcW w:type="dxa" w:w="2218"/>
            <w:vAlign w:val="top"/>
          </w:tcPr>
          <w:p>
            <w:pPr>
              <w:spacing w:after="60" w:before="60" w:line="252" w:lineRule="auto"/>
            </w:pPr>
            <w:r>
              <w:rPr>
                <w:b w:val="0"/>
                <w:sz w:val="18"/>
              </w:rPr>
              <w:t>0.91 (0.83-1.01)</w:t>
            </w:r>
          </w:p>
        </w:tc>
        <w:tc>
          <w:tcPr>
            <w:tcW w:type="dxa" w:w="2218"/>
            <w:vAlign w:val="top"/>
          </w:tcPr>
          <w:p>
            <w:pPr>
              <w:spacing w:after="60" w:before="60" w:line="252" w:lineRule="auto"/>
            </w:pPr>
            <w:r>
              <w:rPr>
                <w:b w:val="0"/>
                <w:sz w:val="18"/>
              </w:rPr>
              <w:t>2.05 (1.69-2.50)</w:t>
            </w:r>
          </w:p>
        </w:tc>
        <w:tc>
          <w:tcPr>
            <w:tcW w:type="dxa" w:w="2203"/>
            <w:vAlign w:val="top"/>
          </w:tcPr>
          <w:p>
            <w:pPr>
              <w:spacing w:after="60" w:before="60" w:line="252" w:lineRule="auto"/>
            </w:pPr>
            <w:r>
              <w:rPr>
                <w:b w:val="0"/>
                <w:sz w:val="18"/>
              </w:rPr>
              <w:t>2.11 (1.91-2.34)</w:t>
            </w:r>
          </w:p>
        </w:tc>
      </w:tr>
      <w:tr>
        <w:trPr>
          <w:cantSplit/>
        </w:trPr>
        <w:tc>
          <w:tcPr>
            <w:tcW w:type="dxa" w:w="1584"/>
            <w:vAlign w:val="top"/>
          </w:tcPr>
          <w:p>
            <w:pPr>
              <w:spacing w:after="60" w:before="60" w:line="252" w:lineRule="auto"/>
            </w:pPr>
            <w:r>
              <w:rPr>
                <w:b w:val="0"/>
                <w:sz w:val="18"/>
              </w:rPr>
              <w:t>abdominal pain</w:t>
            </w:r>
          </w:p>
        </w:tc>
        <w:tc>
          <w:tcPr>
            <w:tcW w:type="dxa" w:w="2218"/>
            <w:vAlign w:val="top"/>
          </w:tcPr>
          <w:p>
            <w:pPr>
              <w:spacing w:after="60" w:before="60" w:line="252" w:lineRule="auto"/>
            </w:pPr>
            <w:r>
              <w:rPr>
                <w:b w:val="0"/>
                <w:sz w:val="18"/>
              </w:rPr>
              <w:t>0.95 (0.78-1.15)</w:t>
            </w:r>
          </w:p>
        </w:tc>
        <w:tc>
          <w:tcPr>
            <w:tcW w:type="dxa" w:w="2218"/>
            <w:vAlign w:val="top"/>
          </w:tcPr>
          <w:p>
            <w:pPr>
              <w:spacing w:after="60" w:before="60" w:line="252" w:lineRule="auto"/>
            </w:pPr>
            <w:r>
              <w:rPr>
                <w:b w:val="0"/>
                <w:sz w:val="18"/>
              </w:rPr>
              <w:t>0.44 (0.39-0.49)</w:t>
            </w:r>
          </w:p>
        </w:tc>
        <w:tc>
          <w:tcPr>
            <w:tcW w:type="dxa" w:w="2218"/>
            <w:vAlign w:val="top"/>
          </w:tcPr>
          <w:p>
            <w:pPr>
              <w:spacing w:after="60" w:before="60" w:line="252" w:lineRule="auto"/>
            </w:pPr>
            <w:r>
              <w:rPr>
                <w:b w:val="0"/>
                <w:sz w:val="18"/>
              </w:rPr>
              <w:t>1.40 (1.15-1.69)</w:t>
            </w:r>
          </w:p>
        </w:tc>
        <w:tc>
          <w:tcPr>
            <w:tcW w:type="dxa" w:w="2203"/>
            <w:vAlign w:val="top"/>
          </w:tcPr>
          <w:p>
            <w:pPr>
              <w:spacing w:after="60" w:before="60" w:line="252" w:lineRule="auto"/>
            </w:pPr>
            <w:r>
              <w:rPr>
                <w:b w:val="0"/>
                <w:sz w:val="18"/>
              </w:rPr>
              <w:t>0.71 (0.63-0.79)</w:t>
            </w:r>
          </w:p>
        </w:tc>
      </w:tr>
      <w:tr>
        <w:trPr>
          <w:cantSplit/>
        </w:trPr>
        <w:tc>
          <w:tcPr>
            <w:tcW w:type="dxa" w:w="1584"/>
            <w:vAlign w:val="top"/>
          </w:tcPr>
          <w:p>
            <w:pPr>
              <w:spacing w:after="60" w:before="60" w:line="252" w:lineRule="auto"/>
            </w:pPr>
            <w:r>
              <w:rPr>
                <w:b w:val="0"/>
                <w:sz w:val="18"/>
              </w:rPr>
              <w:t>heartburn</w:t>
            </w:r>
          </w:p>
        </w:tc>
        <w:tc>
          <w:tcPr>
            <w:tcW w:type="dxa" w:w="2218"/>
            <w:vAlign w:val="top"/>
          </w:tcPr>
          <w:p>
            <w:pPr>
              <w:spacing w:after="60" w:before="60" w:line="252" w:lineRule="auto"/>
            </w:pPr>
            <w:r>
              <w:rPr>
                <w:b w:val="0"/>
                <w:sz w:val="18"/>
              </w:rPr>
              <w:t>0.37 (0.23-0.59)</w:t>
            </w:r>
          </w:p>
        </w:tc>
        <w:tc>
          <w:tcPr>
            <w:tcW w:type="dxa" w:w="2218"/>
            <w:vAlign w:val="top"/>
          </w:tcPr>
          <w:p>
            <w:pPr>
              <w:spacing w:after="60" w:before="60" w:line="252" w:lineRule="auto"/>
            </w:pPr>
            <w:r>
              <w:rPr>
                <w:b w:val="0"/>
                <w:sz w:val="18"/>
              </w:rPr>
              <w:t>0.41 (0.33-0.50)</w:t>
            </w:r>
          </w:p>
        </w:tc>
        <w:tc>
          <w:tcPr>
            <w:tcW w:type="dxa" w:w="2218"/>
            <w:vAlign w:val="top"/>
          </w:tcPr>
          <w:p>
            <w:pPr>
              <w:spacing w:after="60" w:before="60" w:line="252" w:lineRule="auto"/>
            </w:pPr>
            <w:r>
              <w:rPr>
                <w:b w:val="0"/>
                <w:sz w:val="18"/>
              </w:rPr>
              <w:t>0.62 (0.39-0.98)</w:t>
            </w:r>
          </w:p>
        </w:tc>
        <w:tc>
          <w:tcPr>
            <w:tcW w:type="dxa" w:w="2203"/>
            <w:vAlign w:val="top"/>
          </w:tcPr>
          <w:p>
            <w:pPr>
              <w:spacing w:after="60" w:before="60" w:line="252" w:lineRule="auto"/>
            </w:pPr>
            <w:r>
              <w:rPr>
                <w:b w:val="0"/>
                <w:sz w:val="18"/>
              </w:rPr>
              <w:t>0.74 (0.60-0.91)</w:t>
            </w:r>
          </w:p>
        </w:tc>
      </w:tr>
      <w:tr>
        <w:trPr>
          <w:cantSplit/>
        </w:trPr>
        <w:tc>
          <w:tcPr>
            <w:tcW w:type="dxa" w:w="1584"/>
            <w:vAlign w:val="top"/>
          </w:tcPr>
          <w:p>
            <w:pPr>
              <w:spacing w:after="60" w:before="60" w:line="252" w:lineRule="auto"/>
            </w:pPr>
            <w:r>
              <w:rPr>
                <w:b w:val="0"/>
                <w:sz w:val="18"/>
              </w:rPr>
              <w:t>dysphagia</w:t>
            </w:r>
          </w:p>
        </w:tc>
        <w:tc>
          <w:tcPr>
            <w:tcW w:type="dxa" w:w="2218"/>
            <w:vAlign w:val="top"/>
          </w:tcPr>
          <w:p>
            <w:pPr>
              <w:spacing w:after="60" w:before="60" w:line="252" w:lineRule="auto"/>
            </w:pPr>
            <w:r>
              <w:rPr>
                <w:b w:val="0"/>
                <w:sz w:val="18"/>
              </w:rPr>
              <w:t>1.98 (1.65-2.37)</w:t>
            </w:r>
          </w:p>
        </w:tc>
        <w:tc>
          <w:tcPr>
            <w:tcW w:type="dxa" w:w="2218"/>
            <w:vAlign w:val="top"/>
          </w:tcPr>
          <w:p>
            <w:pPr>
              <w:spacing w:after="60" w:before="60" w:line="252" w:lineRule="auto"/>
            </w:pPr>
            <w:r>
              <w:rPr>
                <w:b w:val="0"/>
                <w:sz w:val="18"/>
              </w:rPr>
              <w:t>0.87 (0.78-0.97)</w:t>
            </w:r>
          </w:p>
        </w:tc>
        <w:tc>
          <w:tcPr>
            <w:tcW w:type="dxa" w:w="2218"/>
            <w:vAlign w:val="top"/>
          </w:tcPr>
          <w:p>
            <w:pPr>
              <w:spacing w:after="60" w:before="60" w:line="252" w:lineRule="auto"/>
            </w:pPr>
            <w:r>
              <w:rPr>
                <w:b w:val="0"/>
                <w:sz w:val="18"/>
              </w:rPr>
              <w:t>2.42 (2.02-2.89)</w:t>
            </w:r>
          </w:p>
        </w:tc>
        <w:tc>
          <w:tcPr>
            <w:tcW w:type="dxa" w:w="2203"/>
            <w:vAlign w:val="top"/>
          </w:tcPr>
          <w:p>
            <w:pPr>
              <w:spacing w:after="60" w:before="60" w:line="252" w:lineRule="auto"/>
            </w:pPr>
            <w:r>
              <w:rPr>
                <w:b w:val="0"/>
                <w:sz w:val="18"/>
              </w:rPr>
              <w:t>1.25 (1.12-1.39)</w:t>
            </w:r>
          </w:p>
        </w:tc>
      </w:tr>
      <w:tr>
        <w:trPr>
          <w:cantSplit/>
        </w:trPr>
        <w:tc>
          <w:tcPr>
            <w:tcW w:type="dxa" w:w="1584"/>
            <w:vAlign w:val="top"/>
          </w:tcPr>
          <w:p>
            <w:pPr>
              <w:spacing w:after="60" w:before="60" w:line="252" w:lineRule="auto"/>
            </w:pPr>
            <w:r>
              <w:rPr>
                <w:b w:val="0"/>
                <w:sz w:val="18"/>
              </w:rPr>
              <w:t>unknown dx</w:t>
            </w:r>
          </w:p>
        </w:tc>
        <w:tc>
          <w:tcPr>
            <w:tcW w:type="dxa" w:w="2218"/>
            <w:vAlign w:val="top"/>
          </w:tcPr>
          <w:p>
            <w:pPr>
              <w:spacing w:after="60" w:before="60" w:line="252" w:lineRule="auto"/>
            </w:pPr>
            <w:r>
              <w:rPr>
                <w:b w:val="0"/>
                <w:sz w:val="18"/>
              </w:rPr>
              <w:t>12.83 (5.29-31.14)</w:t>
            </w:r>
          </w:p>
        </w:tc>
        <w:tc>
          <w:tcPr>
            <w:tcW w:type="dxa" w:w="2218"/>
            <w:vAlign w:val="top"/>
          </w:tcPr>
          <w:p>
            <w:pPr>
              <w:spacing w:after="60" w:before="60" w:line="252" w:lineRule="auto"/>
            </w:pPr>
            <w:r>
              <w:rPr>
                <w:b w:val="0"/>
                <w:sz w:val="18"/>
              </w:rPr>
              <w:t>0.42 (0.06-3.01)</w:t>
            </w:r>
          </w:p>
        </w:tc>
        <w:tc>
          <w:tcPr>
            <w:tcW w:type="dxa" w:w="2218"/>
            <w:vAlign w:val="top"/>
          </w:tcPr>
          <w:p>
            <w:pPr>
              <w:spacing w:after="60" w:before="60" w:line="252" w:lineRule="auto"/>
            </w:pPr>
            <w:r>
              <w:rPr>
                <w:b w:val="0"/>
                <w:sz w:val="18"/>
              </w:rPr>
              <w:t>22.35 (9.20-54.28)</w:t>
            </w:r>
          </w:p>
        </w:tc>
        <w:tc>
          <w:tcPr>
            <w:tcW w:type="dxa" w:w="2203"/>
            <w:vAlign w:val="top"/>
          </w:tcPr>
          <w:p>
            <w:pPr>
              <w:spacing w:after="60" w:before="60" w:line="252" w:lineRule="auto"/>
            </w:pPr>
            <w:r>
              <w:rPr>
                <w:b w:val="0"/>
                <w:sz w:val="18"/>
              </w:rPr>
              <w:t>1.13 (0.16-8.03)</w:t>
            </w:r>
          </w:p>
        </w:tc>
      </w:tr>
    </w:tbl>
    <w:p>
      <w:pPr>
        <w:spacing w:after="40"/>
      </w:pPr>
    </w:p>
    <w:p>
      <w:pPr/>
      <w:r>
        <w:t>Hazard ratios with 95% confidence intervals. Later-period models use delayed entry at day 90 and include only patients still under the scenario-specific observation rule beyond that day. The early models have 596 events; later models have 2,356. These counts include all index dates with positive follow-up, so they differ from descriptive counts restricted to full calendar opportunity.</w:t>
      </w:r>
    </w:p>
    <w:p>
      <w:pPr/>
      <w:r>
        <w:t>Dysphagia has a stronger relative recorded-repeat hazard early under both assumptions: 1.98 versus 0.87 with the calendar rule, and 2.42 versus 1.25 with the contact proxy. This pattern helps explain why the overall calendar-model HR is close to 1 despite a proportional-hazards violation. The result supports time variation within these data, not a clinical mechanism or a causal effect.</w:t>
      </w:r>
    </w:p>
    <w:p>
      <w:pPr/>
      <w:r>
        <w:t>The early fits required a smaller optimization step of 0.1 for stable unpenalized estimation. No covariates or records were removed to obtain these EGD fits. All eight early/late models across both procedure cohorts were independently checked with a second implementation. Full colonoscopy interval estimates and all interval p values remain in the accompanying CSV table.</w:t>
      </w:r>
    </w:p>
    <w:sectPr w:rsidR="00FC693F" w:rsidRPr="0006063C" w:rsidSect="00034616">
      <w:footerReference w:type="default" r:id="rId9"/>
      <w:pgSz w:w="12240" w:h="15840"/>
      <w:pgMar w:top="864" w:right="900" w:bottom="864"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Cox proportional hazards analysis of recorded repeat endoscopy</dc:title>
  <dc:subject/>
  <dc:creator>Research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