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Дз№1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Мишалкин</w:t>
      </w:r>
      <w:r>
        <w:t xml:space="preserve"> </w:t>
      </w:r>
      <w:r>
        <w:t xml:space="preserve">Олеся</w:t>
      </w:r>
      <w:r>
        <w:t xml:space="preserve"> </w:t>
      </w:r>
      <w:r>
        <w:t xml:space="preserve">Тухватшина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"~/priklad/stata2.dta"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-"/>
      <w:bookmarkEnd w:id="21"/>
      <w:r>
        <w:t xml:space="preserve">Постановка задачи</w:t>
      </w:r>
    </w:p>
    <w:p>
      <w:pPr>
        <w:pStyle w:val="FirstParagraph"/>
      </w:pPr>
      <w:r>
        <w:t xml:space="preserve">В нашей выборке мы рассматриваем спрос только на макароны в 2010-2016 гг. Нашей задачей является предсказать, сколько будет потрачено домохозяйствами на макаронные изделия в неделю.</w:t>
      </w:r>
    </w:p>
    <w:p>
      <w:pPr>
        <w:pStyle w:val="Heading1"/>
      </w:pPr>
      <w:bookmarkStart w:id="22" w:name="."/>
      <w:bookmarkEnd w:id="22"/>
      <w:r>
        <w:t xml:space="preserve">Актуальность.</w:t>
      </w:r>
    </w:p>
    <w:p>
      <w:pPr>
        <w:pStyle w:val="FirstParagraph"/>
      </w:pPr>
      <w:r>
        <w:t xml:space="preserve">Спрос на продовольственные товары является важным компонентом в экономическом анализе различных продовольственных программ и сельскохозяйственной политике. Спрос помогает прогнозировать ситуацию на рынке, а именно цены, расходы и потребление. Информация о спросе используется во многих маркетинговых решениях.</w:t>
      </w:r>
    </w:p>
    <w:p>
      <w:pPr>
        <w:pStyle w:val="Heading1"/>
      </w:pPr>
      <w:bookmarkStart w:id="23" w:name="-."/>
      <w:bookmarkEnd w:id="23"/>
      <w:r>
        <w:t xml:space="preserve">Обзор литературы.</w:t>
      </w:r>
    </w:p>
    <w:p>
      <w:pPr>
        <w:pStyle w:val="FirstParagraph"/>
      </w:pPr>
      <w:r>
        <w:t xml:space="preserve">В статье James R. Blaylock и David M. Smallwood (1986) была рассмотрена тобит-модель, в которой в качестве зависимой переменной были взяты средние еженедельные расходы на питание домохозяйств. По выборке исследования Blaylock и Smallwood в рассматриваемый ими период 1881-1882 гг средний размер домохозяйств – 2,59, а процент домохозяйств, которые едят дома равен 67,6. 78,2% опрошенных покупали крупы и бакалейные продукты в неделю. Результатом их работы стало то, что домохозяйства с большим доходом тратят больше денег на продовольственные товары, чем домашние хозяйства с меньшим доходом, что касается макаронных изделий, то домохозяйства с высоким доходом в 1,17 раз тратят больше на бакалейные продукты. Помимо уровня дохода Blaylock и Smallwood рассмотрели так же такие факторы как возраст, регион и раса. Согласно результатам, пожилые американцы тратят меньше на еду, чем молодые люди; домашние хозяйства на северо-востоке и западе тратят больше на продовольствие, чем в странах Южного и Северного регионов; а «белые» люди расходуют больше, чем «черные».</w:t>
      </w:r>
    </w:p>
    <w:p>
      <w:pPr>
        <w:pStyle w:val="Heading1"/>
      </w:pPr>
      <w:bookmarkStart w:id="24" w:name="-"/>
      <w:bookmarkEnd w:id="24"/>
      <w:r>
        <w:t xml:space="preserve">Описание данных</w:t>
      </w:r>
    </w:p>
    <w:p>
      <w:pPr>
        <w:pStyle w:val="FirstParagraph"/>
      </w:pPr>
      <w:r>
        <w:t xml:space="preserve">Были выброшены домохозяйства у которых было меньше 3 значений целевой переменной</w:t>
      </w:r>
    </w:p>
    <w:p>
      <w:pPr>
        <w:pStyle w:val="BodyText"/>
      </w:pPr>
      <w:r>
        <w:rPr>
          <w:b/>
        </w:rPr>
        <w:t xml:space="preserve">Stata code:</w:t>
      </w:r>
      <w:r>
        <w:br w:type="textWrapping"/>
      </w:r>
      <w:r>
        <w:rPr>
          <w:b/>
        </w:rPr>
        <w:t xml:space="preserve">egen dps_availability = total(!missing(m)), by(id)</w:t>
      </w:r>
      <w:r>
        <w:br w:type="textWrapping"/>
      </w:r>
      <w:r>
        <w:rPr>
          <w:b/>
        </w:rPr>
        <w:t xml:space="preserve">drop if dps_availability &lt; 3</w:t>
      </w:r>
    </w:p>
    <w:p>
      <w:pPr>
        <w:pStyle w:val="BodyText"/>
      </w:pPr>
      <w:r>
        <w:t xml:space="preserve">Далее мы посмотрели на описательную статистику</w:t>
      </w:r>
    </w:p>
    <w:p>
      <w:pPr>
        <w:pStyle w:val="Figure"/>
      </w:pPr>
      <w:r>
        <w:drawing>
          <wp:inline>
            <wp:extent cx="5334000" cy="50859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Всего в выборке 4304 домохозяйств. Из матрицы объектов были удалены наблюдения с пропущенной целевой переменной. Максимальное число пропусков 7 из 7 лет и 9 доступным месяцам. В данны отсутствуют 6, 7 и 8 месяцадля всех лет.</w:t>
      </w:r>
    </w:p>
    <w:p>
      <w:pPr>
        <w:pStyle w:val="BodyText"/>
      </w:pPr>
      <w:r>
        <w:t xml:space="preserve">Вашным предиктором в модели может оказаться доход. Этот показатель содержит большое количество выбросов, поэтому все значения 99 перцентили сделаем равными 99 перцентилю.</w:t>
      </w:r>
    </w:p>
    <w:p>
      <w:pPr>
        <w:pStyle w:val="BodyText"/>
      </w:pPr>
      <w:r>
        <w:t xml:space="preserve">Но данные имеют тяжелый правый хвост, а распределение похоже на лог-нормальное.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855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klad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Прологарифмируем.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klad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соберем данные в панель.</w:t>
      </w:r>
    </w:p>
    <w:p>
      <w:pPr>
        <w:pStyle w:val="SourceCode"/>
      </w:pPr>
      <w:r>
        <w:rPr>
          <w:rStyle w:val="NormalTok"/>
        </w:rPr>
        <w:t xml:space="preserve">pdata=</w:t>
      </w:r>
      <w:r>
        <w:rPr>
          <w:rStyle w:val="KeywordTok"/>
        </w:rPr>
        <w:t xml:space="preserve">plm.data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series p_inc_saved is NA and has been removed</w:t>
      </w:r>
    </w:p>
    <w:p>
      <w:pPr>
        <w:pStyle w:val="FirstParagraph"/>
      </w:pPr>
      <w:r>
        <w:t xml:space="preserve">Оценим три модели. Первая Pool модель, затем FE и последняя - RE. Мы будем рассматривать количество потребления макарон от дохода, количества людей в семье, затраты на еду вообще и на еду вне дома. Также кажется разумным посмотреть на потребление мяса и птицы, потомучто макароны являются комплементом к ним. Так как FE регрессия не может учитывать постоянные во времени регрессоры(идея восстановить их с помощью константы для каждой группы), мы не включаем в наши модели тип населенного пункта и регион.</w:t>
      </w:r>
    </w:p>
    <w:p>
      <w:pPr>
        <w:pStyle w:val="SourceCode"/>
      </w:pPr>
      <w:r>
        <w:rPr>
          <w:rStyle w:val="NormalTok"/>
        </w:rPr>
        <w:t xml:space="preserve">m.pooled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(e1_5c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nfm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cost_food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cost_eating_out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e1_22c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e1_24c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e1_26c,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(e1_5c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nfm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cost_food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cost_eating_out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e1_22c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e1_24c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e1_26c,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(e1_5c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nfm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cost_food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cost_eating_out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e1_22c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e1_24c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e1_26c,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(m.pooled,m.re,m.fe,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                  Dependent variable:                          </w:t>
      </w:r>
      <w:r>
        <w:br w:type="textWrapping"/>
      </w:r>
      <w:r>
        <w:rPr>
          <w:rStyle w:val="VerbatimChar"/>
        </w:rPr>
        <w:t xml:space="preserve">                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                                  e1_5c                                 </w:t>
      </w:r>
      <w:r>
        <w:br w:type="textWrapping"/>
      </w:r>
      <w:r>
        <w:rPr>
          <w:rStyle w:val="VerbatimChar"/>
        </w:rPr>
        <w:t xml:space="preserve">                          (1)                     (2)                     (3)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lincome                 7.060**                 7.611**                18.956**        </w:t>
      </w:r>
      <w:r>
        <w:br w:type="textWrapping"/>
      </w:r>
      <w:r>
        <w:rPr>
          <w:rStyle w:val="VerbatimChar"/>
        </w:rPr>
        <w:t xml:space="preserve">                        (3.291)                 (3.329)                 (8.444)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nfm                     -0.023                   0.188                   5.351         </w:t>
      </w:r>
      <w:r>
        <w:br w:type="textWrapping"/>
      </w:r>
      <w:r>
        <w:rPr>
          <w:rStyle w:val="VerbatimChar"/>
        </w:rPr>
        <w:t xml:space="preserve">                        (1.133)                 (1.168)                 (4.031)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cost_food              0.001***                0.001***                0.001***        </w:t>
      </w:r>
      <w:r>
        <w:br w:type="textWrapping"/>
      </w:r>
      <w:r>
        <w:rPr>
          <w:rStyle w:val="VerbatimChar"/>
        </w:rPr>
        <w:t xml:space="preserve">                       (0.0002)                (0.0002)                (0.0004)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cost_eating_out         0.0001                  0.0001                   0.002         </w:t>
      </w:r>
      <w:r>
        <w:br w:type="textWrapping"/>
      </w:r>
      <w:r>
        <w:rPr>
          <w:rStyle w:val="VerbatimChar"/>
        </w:rPr>
        <w:t xml:space="preserve">                        (0.001)                 (0.001)                 (0.001)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e1_22c                 0.014***                0.013***                  0.004         </w:t>
      </w:r>
      <w:r>
        <w:br w:type="textWrapping"/>
      </w:r>
      <w:r>
        <w:rPr>
          <w:rStyle w:val="VerbatimChar"/>
        </w:rPr>
        <w:t xml:space="preserve">                        (0.005)                 (0.005)                 (0.009)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e1_24c                  -0.004                  -0.003                   0.006         </w:t>
      </w:r>
      <w:r>
        <w:br w:type="textWrapping"/>
      </w:r>
      <w:r>
        <w:rPr>
          <w:rStyle w:val="VerbatimChar"/>
        </w:rPr>
        <w:t xml:space="preserve">                        (0.004)                 (0.004)                 (0.009)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e1_26c                 0.086***                0.084***                0.056***        </w:t>
      </w:r>
      <w:r>
        <w:br w:type="textWrapping"/>
      </w:r>
      <w:r>
        <w:rPr>
          <w:rStyle w:val="VerbatimChar"/>
        </w:rPr>
        <w:t xml:space="preserve">                        (0.012)                 (0.012)                 (0.021)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Constant                -47.521                 -53.848                                </w:t>
      </w:r>
      <w:r>
        <w:br w:type="textWrapping"/>
      </w:r>
      <w:r>
        <w:rPr>
          <w:rStyle w:val="VerbatimChar"/>
        </w:rPr>
        <w:t xml:space="preserve">                       (33.283)                (33.654)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960                     960                     960          </w:t>
      </w:r>
      <w:r>
        <w:br w:type="textWrapping"/>
      </w:r>
      <w:r>
        <w:rPr>
          <w:rStyle w:val="VerbatimChar"/>
        </w:rPr>
        <w:t xml:space="preserve">R2                       0.176                   0.173                   0.209         </w:t>
      </w:r>
      <w:r>
        <w:br w:type="textWrapping"/>
      </w:r>
      <w:r>
        <w:rPr>
          <w:rStyle w:val="VerbatimChar"/>
        </w:rPr>
        <w:t xml:space="preserve">Adjusted R2              0.170                   0.167                  -1.562         </w:t>
      </w:r>
      <w:r>
        <w:br w:type="textWrapping"/>
      </w:r>
      <w:r>
        <w:rPr>
          <w:rStyle w:val="VerbatimChar"/>
        </w:rPr>
        <w:t xml:space="preserve">F Statistic     29.119*** (df = 7; 952) 28.375*** (df = 7; 952) 11.180*** (df = 7; 296)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                   *p&lt;0.1; **p&lt;0.05; ***p&lt;0.01</w:t>
      </w:r>
    </w:p>
    <w:p>
      <w:pPr>
        <w:pStyle w:val="FirstParagraph"/>
      </w:pPr>
      <w:r>
        <w:t xml:space="preserve">То же самое в стате:</w:t>
      </w:r>
      <w:r>
        <w:t xml:space="preserve"> </w:t>
      </w:r>
      <w:r>
        <w:rPr>
          <w:b/>
        </w:rPr>
        <w:t xml:space="preserve">reg m lincome nfm cost_food cost_eating_out e1_22c e1_24c e1_26c</w:t>
      </w:r>
      <w:r>
        <w:br w:type="textWrapping"/>
      </w:r>
      <w:r>
        <w:rPr>
          <w:b/>
        </w:rPr>
        <w:t xml:space="preserve">est store pool1</w:t>
      </w:r>
      <w:r>
        <w:rPr>
          <w:b/>
        </w:rPr>
        <w:t xml:space="preserve"> </w:t>
      </w:r>
      <w:r>
        <w:br w:type="textWrapping"/>
      </w:r>
      <w:r>
        <w:rPr>
          <w:b/>
        </w:rPr>
        <w:t xml:space="preserve">xtreg m lincome nfm cost_food cost_eating_out e1_22c e1_24c e1_26c, re</w:t>
      </w:r>
      <w:r>
        <w:br w:type="textWrapping"/>
      </w:r>
      <w:r>
        <w:rPr>
          <w:b/>
        </w:rPr>
        <w:t xml:space="preserve">est store re1</w:t>
      </w:r>
      <w:r>
        <w:br w:type="textWrapping"/>
      </w:r>
      <w:r>
        <w:rPr>
          <w:b/>
        </w:rPr>
        <w:t xml:space="preserve">xtreg m lincome nfm cost_food cost_eating_out e1_22c e1_24c e1_26c, fe</w:t>
      </w:r>
      <w:r>
        <w:br w:type="textWrapping"/>
      </w:r>
      <w:r>
        <w:rPr>
          <w:b/>
        </w:rPr>
        <w:t xml:space="preserve">est store fe1</w:t>
      </w:r>
      <w:r>
        <w:t xml:space="preserve"> </w:t>
      </w:r>
      <w:r>
        <w:rPr>
          <w:b/>
        </w:rPr>
        <w:t xml:space="preserve">est tab pool1 re1 fe1, b(%7.4f) star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По таблице можно видеть коэффициенты трех моделей. Сразу заметно, что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достаточно мал, много незначимых переменных. Значимая константа, и это не очень хорошо, так как это говорит о том, что регрессоры плохо объясняют данные. Также можно заметить, что у FE модели отрицательный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</m:oMath>
      <w:r>
        <w:t xml:space="preserve">. Это так, потому что у нас большое количество групп, больше 10000. Столько же оценивается свободных членов.степеней свободы у FE модели всего 315</w:t>
      </w:r>
    </w:p>
    <w:p>
      <w:pPr>
        <w:pStyle w:val="BodyText"/>
      </w:pPr>
      <w:r>
        <w:t xml:space="preserve">Некоторые коэффициенты достаточно сильно разнятся, значит могут быть проблемы со спецификацией. Также есть небольшая разница в коэффициентах между STATA и R, вероятно, это связано с различиями в оптимизациях "под капотом"</w:t>
      </w:r>
    </w:p>
    <w:p>
      <w:pPr>
        <w:pStyle w:val="BodyText"/>
      </w:pPr>
      <w:r>
        <w:t xml:space="preserve">Далее необходимо выбрать наилучшую модель из представленных. Сначала сравним Pool с остальными. Для этого используем f test</w:t>
      </w:r>
    </w:p>
    <w:p>
      <w:pPr>
        <w:pStyle w:val="SourceCode"/>
      </w:pPr>
      <w:r>
        <w:rPr>
          <w:rStyle w:val="KeywordTok"/>
        </w:rPr>
        <w:t xml:space="preserve">pFtest</w:t>
      </w:r>
      <w:r>
        <w:rPr>
          <w:rStyle w:val="NormalTok"/>
        </w:rPr>
        <w:t xml:space="preserve">(m.fe, m.pooled)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 test for individual effects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e1_5c ~ lincome + nfm + cost_food + cost_eating_out + e1_22c +  ...</w:t>
      </w:r>
      <w:r>
        <w:br w:type="textWrapping"/>
      </w:r>
      <w:r>
        <w:rPr>
          <w:rStyle w:val="VerbatimChar"/>
        </w:rPr>
        <w:t xml:space="preserve">F = 1.1864, df1 = 656, df2 = 296, p-value = 0.04519</w:t>
      </w:r>
      <w:r>
        <w:br w:type="textWrapping"/>
      </w:r>
      <w:r>
        <w:rPr>
          <w:rStyle w:val="VerbatimChar"/>
        </w:rPr>
        <w:t xml:space="preserve">alternative hypothesis: significant effects</w:t>
      </w:r>
    </w:p>
    <w:p>
      <w:pPr>
        <w:pStyle w:val="FirstParagraph"/>
      </w:pPr>
      <w:r>
        <w:t xml:space="preserve">Нулевая гипотеза о верной сквозной модели отвергается в пользу модели с фиксированными эффектами.</w:t>
      </w:r>
    </w:p>
    <w:p>
      <w:pPr>
        <w:pStyle w:val="BodyText"/>
      </w:pPr>
      <w:r>
        <w:t xml:space="preserve">Следующим шагом проверим Pool про RE. Для этого воспользуемся тестом Бройша-Пагана</w:t>
      </w:r>
    </w:p>
    <w:p>
      <w:pPr>
        <w:pStyle w:val="SourceCode"/>
      </w:pPr>
      <w:r>
        <w:rPr>
          <w:rStyle w:val="KeywordTok"/>
        </w:rPr>
        <w:t xml:space="preserve">plmtest</w:t>
      </w:r>
      <w:r>
        <w:rPr>
          <w:rStyle w:val="NormalTok"/>
        </w:rPr>
        <w:t xml:space="preserve">(m.re,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Lagrange Multiplier Test - (Breusch-Pagan) for unbalanced panels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e1_5c ~ lincome + nfm + cost_food + cost_eating_out + e1_22c +  ...</w:t>
      </w:r>
      <w:r>
        <w:br w:type="textWrapping"/>
      </w:r>
      <w:r>
        <w:rPr>
          <w:rStyle w:val="VerbatimChar"/>
        </w:rPr>
        <w:t xml:space="preserve">chisq = 17.547, df = 1, p-value = 0.00002803</w:t>
      </w:r>
      <w:r>
        <w:br w:type="textWrapping"/>
      </w:r>
      <w:r>
        <w:rPr>
          <w:rStyle w:val="VerbatimChar"/>
        </w:rPr>
        <w:t xml:space="preserve">alternative hypothesis: significant effects</w:t>
      </w:r>
    </w:p>
    <w:p>
      <w:pPr>
        <w:pStyle w:val="Figure"/>
      </w:pPr>
      <w:r>
        <w:drawing>
          <wp:inline>
            <wp:extent cx="5334000" cy="276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Нулевая гипотеза о верности сквозной регрессии отвергается. Остается проверить, какую из двух оставшихся регрессий выбрать. Для этого воспользуемся тестом Хаусмана.</w:t>
      </w:r>
    </w:p>
    <w:p>
      <w:pPr>
        <w:pStyle w:val="SourceCode"/>
      </w:pPr>
      <w:r>
        <w:rPr>
          <w:rStyle w:val="KeywordTok"/>
        </w:rPr>
        <w:t xml:space="preserve">phtest</w:t>
      </w:r>
      <w:r>
        <w:rPr>
          <w:rStyle w:val="NormalTok"/>
        </w:rPr>
        <w:t xml:space="preserve">(m.fe, m.re)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Hausman 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e1_5c ~ lincome + nfm + cost_food + cost_eating_out + e1_22c +  ...</w:t>
      </w:r>
      <w:r>
        <w:br w:type="textWrapping"/>
      </w:r>
      <w:r>
        <w:rPr>
          <w:rStyle w:val="VerbatimChar"/>
        </w:rPr>
        <w:t xml:space="preserve">chisq = 22.759, df = 7, p-value = 0.001877</w:t>
      </w:r>
      <w:r>
        <w:br w:type="textWrapping"/>
      </w:r>
      <w:r>
        <w:rPr>
          <w:rStyle w:val="VerbatimChar"/>
        </w:rPr>
        <w:t xml:space="preserve">alternative hypothesis: one model is inconsistent</w:t>
      </w:r>
    </w:p>
    <w:p>
      <w:pPr>
        <w:pStyle w:val="Figure"/>
      </w:pPr>
      <w:r>
        <w:drawing>
          <wp:inline>
            <wp:extent cx="5334000" cy="315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Здесь нулевая гипотеза о состоятельности коэффициентов в обеих моделях (FE и RE) отвергается. Так как этот тест проверяет</w:t>
      </w:r>
      <w:r>
        <w:t xml:space="preserve"> </w:t>
      </w:r>
      <w:r>
        <w:t xml:space="preserve">связаны ли ошибки с регрессорами, то следует в дальнейшем пользоваться моделью FE. Это означает, что ошибки некоррелированны с регрессорами.</w:t>
      </w:r>
    </w:p>
    <w:p>
      <w:pPr>
        <w:pStyle w:val="BodyText"/>
      </w:pPr>
      <w:r>
        <w:t xml:space="preserve">Выбор FE модели означает, что мы не можем считать различия в домохозяйствах случайными. Именно от этих особенностей зависит потребление макарон.</w:t>
      </w:r>
    </w:p>
    <w:p>
      <w:pPr>
        <w:pStyle w:val="Heading1"/>
      </w:pPr>
      <w:bookmarkStart w:id="39" w:name="тесты"/>
      <w:bookmarkEnd w:id="39"/>
      <w:r>
        <w:t xml:space="preserve">Тесты</w:t>
      </w:r>
    </w:p>
    <w:p>
      <w:pPr>
        <w:pStyle w:val="Heading2"/>
      </w:pPr>
      <w:bookmarkStart w:id="40" w:name="--"/>
      <w:bookmarkEnd w:id="40"/>
      <w:r>
        <w:t xml:space="preserve">Тест на гетероскедастичность</w:t>
      </w:r>
    </w:p>
    <w:p>
      <w:pPr>
        <w:pStyle w:val="Figure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Тест свидетельствует о том, что присутствует гетероскедастичность и необходимы будут робастные оценки</w:t>
      </w:r>
    </w:p>
    <w:p>
      <w:pPr>
        <w:pStyle w:val="Heading2"/>
      </w:pPr>
      <w:bookmarkStart w:id="44" w:name="---"/>
      <w:bookmarkEnd w:id="44"/>
      <w:r>
        <w:t xml:space="preserve">Тест на пространственную автокорреляцию</w:t>
      </w:r>
    </w:p>
    <w:p>
      <w:pPr>
        <w:pStyle w:val="FirstParagraph"/>
      </w:pPr>
      <w:r>
        <w:t xml:space="preserve">К сожалению не удалось запустить функцию</w:t>
      </w:r>
      <w:r>
        <w:t xml:space="preserve"> </w:t>
      </w:r>
      <w:r>
        <w:rPr>
          <w:b/>
        </w:rPr>
        <w:t xml:space="preserve">xttest2</w:t>
      </w:r>
      <w:r>
        <w:t xml:space="preserve">. Любые попытки обрезать датасет не приводили ни к какому результату. Мы попробовали оставить только наблюдения, для которых есть наблюдения целевой переменной за все года, попытались обрезать панель по годам в разных комбинациях. Поэтому мы снова возвращаемся к R.</w:t>
      </w:r>
    </w:p>
    <w:p>
      <w:pPr>
        <w:pStyle w:val="SourceCode"/>
      </w:pPr>
      <w:r>
        <w:rPr>
          <w:rStyle w:val="KeywordTok"/>
        </w:rPr>
        <w:t xml:space="preserve">pcdtest</w:t>
      </w:r>
      <w:r>
        <w:rPr>
          <w:rStyle w:val="NormalTok"/>
        </w:rPr>
        <w:t xml:space="preserve">(m.fe,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pcdres(tres = tres, n = n, w = w, form = paste(deparse(x</w:t>
      </w:r>
      <w:r>
        <w:br w:type="textWrapping"/>
      </w:r>
      <w:r>
        <w:rPr>
          <w:rStyle w:val="VerbatimChar"/>
        </w:rPr>
        <w:t xml:space="preserve">## $formula)), : Some pairs of individuals (200 percent) do not have any or</w:t>
      </w:r>
      <w:r>
        <w:br w:type="textWrapping"/>
      </w:r>
      <w:r>
        <w:rPr>
          <w:rStyle w:val="VerbatimChar"/>
        </w:rPr>
        <w:t xml:space="preserve">## just one time period in common and have been omitted from calculation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Breusch-Pagan LM test for cross-sectional dependence in panels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e1_5c ~ lincome + nfm + cost_food + cost_eating_out + e1_22c +     e1_24c + e1_26c</w:t>
      </w:r>
      <w:r>
        <w:br w:type="textWrapping"/>
      </w:r>
      <w:r>
        <w:rPr>
          <w:rStyle w:val="VerbatimChar"/>
        </w:rPr>
        <w:t xml:space="preserve">## chisq = 7583.2, df = 3887, p-value &lt; 2.2e-16</w:t>
      </w:r>
      <w:r>
        <w:br w:type="textWrapping"/>
      </w:r>
      <w:r>
        <w:rPr>
          <w:rStyle w:val="VerbatimChar"/>
        </w:rPr>
        <w:t xml:space="preserve">## alternative hypothesis: cross-sectional dependence</w:t>
      </w:r>
    </w:p>
    <w:p>
      <w:pPr>
        <w:pStyle w:val="FirstParagraph"/>
      </w:pPr>
      <w:r>
        <w:t xml:space="preserve">Нулевая гипотеза об отсутствии пространственной автокорреляции отвергается</w:t>
      </w:r>
    </w:p>
    <w:p>
      <w:pPr>
        <w:pStyle w:val="SourceCode"/>
      </w:pPr>
      <w:r>
        <w:rPr>
          <w:rStyle w:val="KeywordTok"/>
        </w:rPr>
        <w:t xml:space="preserve">pcdtest</w:t>
      </w:r>
      <w:r>
        <w:rPr>
          <w:rStyle w:val="NormalTok"/>
        </w:rPr>
        <w:t xml:space="preserve">(m.fe,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pcdres(tres = tres, n = n, w = w, form = paste(deparse(x</w:t>
      </w:r>
      <w:r>
        <w:br w:type="textWrapping"/>
      </w:r>
      <w:r>
        <w:rPr>
          <w:rStyle w:val="VerbatimChar"/>
        </w:rPr>
        <w:t xml:space="preserve">## $formula)), : Some pairs of individuals (200 percent) do not have any or</w:t>
      </w:r>
      <w:r>
        <w:br w:type="textWrapping"/>
      </w:r>
      <w:r>
        <w:rPr>
          <w:rStyle w:val="VerbatimChar"/>
        </w:rPr>
        <w:t xml:space="preserve">## just one time period in common and have been omitted from calculation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Pesaran CD test for cross-sectional dependence in panels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e1_5c ~ lincome + nfm + cost_food + cost_eating_out + e1_22c +     e1_24c + e1_26c</w:t>
      </w:r>
      <w:r>
        <w:br w:type="textWrapping"/>
      </w:r>
      <w:r>
        <w:rPr>
          <w:rStyle w:val="VerbatimChar"/>
        </w:rPr>
        <w:t xml:space="preserve">## z = -0.9624, p-value = 0.3358</w:t>
      </w:r>
      <w:r>
        <w:br w:type="textWrapping"/>
      </w:r>
      <w:r>
        <w:rPr>
          <w:rStyle w:val="VerbatimChar"/>
        </w:rPr>
        <w:t xml:space="preserve">## alternative hypothesis: cross-sectional dependence</w:t>
      </w:r>
    </w:p>
    <w:p>
      <w:pPr>
        <w:pStyle w:val="FirstParagraph"/>
      </w:pPr>
      <w:r>
        <w:t xml:space="preserve">CD тест говорит об обратном. Какая же гипотеза верна?</w:t>
      </w:r>
    </w:p>
    <w:p>
      <w:pPr>
        <w:pStyle w:val="BodyText"/>
      </w:pPr>
      <w:r>
        <w:t xml:space="preserve">"Monte Carlo experiments show that the standard Breusch–Pagan LM test performs badly for N &gt; T panels, whereas Pesaran’s CD test performs well even for small T and large N" Baltagi (2005, 3rd edition), p. 247</w:t>
      </w:r>
    </w:p>
    <w:p>
      <w:pPr>
        <w:pStyle w:val="BodyText"/>
      </w:pPr>
      <w:r>
        <w:t xml:space="preserve">Поэтому доверимся CD тесту и скажем, что нет оснований отвергнуть нулевую гипотезу о том, что пространственной автокорреляции нет.</w:t>
      </w:r>
    </w:p>
    <w:p>
      <w:pPr>
        <w:pStyle w:val="Heading2"/>
      </w:pPr>
      <w:bookmarkStart w:id="45" w:name="---"/>
      <w:bookmarkEnd w:id="45"/>
      <w:r>
        <w:t xml:space="preserve">Тест на временную автокорреляцию</w:t>
      </w:r>
    </w:p>
    <w:p>
      <w:pPr>
        <w:pStyle w:val="Figure"/>
      </w:pPr>
      <w:r>
        <w:drawing>
          <wp:inline>
            <wp:extent cx="5334000" cy="12181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На разумных уровнях значимости мы не можем отвергнуть нулевую гипотезу о том, что в наших отсутсвует автокорреляция первого порядка</w:t>
      </w:r>
    </w:p>
    <w:p>
      <w:pPr>
        <w:pStyle w:val="Heading2"/>
      </w:pPr>
      <w:bookmarkStart w:id="49" w:name="--"/>
      <w:bookmarkEnd w:id="49"/>
      <w:r>
        <w:t xml:space="preserve">Тест на стационарность</w:t>
      </w:r>
    </w:p>
    <w:p>
      <w:pPr>
        <w:pStyle w:val="FirstParagraph"/>
      </w:pPr>
      <w:r>
        <w:rPr>
          <w:b/>
        </w:rPr>
        <w:t xml:space="preserve">xtunitroot fisher m, dfuller lags(0)</w:t>
      </w:r>
    </w:p>
    <w:p>
      <w:pPr>
        <w:pStyle w:val="Figure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Для многих домохозяйств тест не мог быть посчитан. Однако на тех данных что есть нулевая гипотеза о том, что все панели стационарны отвергается</w:t>
      </w:r>
    </w:p>
    <w:p>
      <w:pPr>
        <w:pStyle w:val="Heading2"/>
      </w:pPr>
      <w:bookmarkStart w:id="53" w:name="--"/>
      <w:bookmarkEnd w:id="53"/>
      <w:r>
        <w:t xml:space="preserve">Тест на нормальность</w:t>
      </w:r>
    </w:p>
    <w:p>
      <w:pPr>
        <w:pStyle w:val="Figure"/>
      </w:pPr>
      <w:r>
        <w:drawing>
          <wp:inline>
            <wp:extent cx="5334000" cy="3578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Нулевая гипотеза о нормальности отвергается.</w:t>
      </w:r>
    </w:p>
    <w:p>
      <w:pPr>
        <w:pStyle w:val="Heading2"/>
      </w:pPr>
      <w:bookmarkStart w:id="57" w:name="----"/>
      <w:bookmarkEnd w:id="57"/>
      <w:r>
        <w:t xml:space="preserve">Поправка на гетероскедастичность и автокорреляцию</w:t>
      </w:r>
    </w:p>
    <w:p>
      <w:pPr>
        <w:pStyle w:val="FirstParagraph"/>
      </w:pPr>
      <w:r>
        <w:rPr>
          <w:b/>
        </w:rPr>
        <w:t xml:space="preserve">xtreg m lincome nfm cost_food cost_eating_out e1_22c e1_24c e1_26c, fe</w:t>
      </w:r>
      <w:r>
        <w:br w:type="textWrapping"/>
      </w:r>
      <w:r>
        <w:rPr>
          <w:b/>
        </w:rPr>
        <w:t xml:space="preserve">est store fe</w:t>
      </w:r>
      <w:r>
        <w:br w:type="textWrapping"/>
      </w:r>
      <w:r>
        <w:rPr>
          <w:b/>
        </w:rPr>
        <w:t xml:space="preserve">xtreg m lincome nfm cost_food cost_eating_out e1_22c e1_24c e1_26c, fe robust</w:t>
      </w:r>
      <w:r>
        <w:br w:type="textWrapping"/>
      </w:r>
      <w:r>
        <w:rPr>
          <w:b/>
        </w:rPr>
        <w:t xml:space="preserve">est store fe_rob</w:t>
      </w:r>
      <w:r>
        <w:br w:type="textWrapping"/>
      </w:r>
      <w:r>
        <w:rPr>
          <w:b/>
        </w:rPr>
        <w:t xml:space="preserve">xtregar m lincome nfm cost_food cost_eating_out e1_22c e1_24c e1_26c, fe</w:t>
      </w:r>
      <w:r>
        <w:br w:type="textWrapping"/>
      </w:r>
      <w:r>
        <w:rPr>
          <w:b/>
        </w:rPr>
        <w:t xml:space="preserve">est store regar</w:t>
      </w:r>
      <w:r>
        <w:br w:type="textWrapping"/>
      </w:r>
      <w:r>
        <w:rPr>
          <w:b/>
        </w:rPr>
        <w:t xml:space="preserve">xtregar m lincome nfm cost_food cost_eating_out e1_22c e1_24c e1_26c, fe</w:t>
      </w:r>
      <w:r>
        <w:t xml:space="preserve"> </w:t>
      </w:r>
      <w:r>
        <w:rPr>
          <w:b/>
        </w:rPr>
        <w:t xml:space="preserve">est store regar</w:t>
      </w:r>
      <w:r>
        <w:rPr>
          <w:b/>
        </w:rPr>
        <w:t xml:space="preserve"> </w:t>
      </w:r>
    </w:p>
    <w:p>
      <w:pPr>
        <w:pStyle w:val="Figure"/>
      </w:pPr>
      <w:r>
        <w:drawing>
          <wp:inline>
            <wp:extent cx="4648200" cy="543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-"/>
      <w:bookmarkEnd w:id="61"/>
      <w:r>
        <w:t xml:space="preserve">Инструментальные переменные</w:t>
      </w:r>
    </w:p>
    <w:p>
      <w:pPr>
        <w:pStyle w:val="FirstParagraph"/>
      </w:pPr>
      <w:r>
        <w:t xml:space="preserve">Возможно, в нашей модели есть проблема эндогенности. Попробуем оценить модель с инструментальными переменными.</w:t>
      </w:r>
    </w:p>
    <w:p>
      <w:pPr>
        <w:pStyle w:val="BodyText"/>
      </w:pPr>
      <w:r>
        <w:t xml:space="preserve">Будем считать, что общие затраты на еду это эндогенная величина. Также будем считать, что еда вне дома и покупка тортов - не связаны с индивидуальными ошибками и коррелированы с количеством денег, потраченных на еду.</w:t>
      </w:r>
    </w:p>
    <w:p>
      <w:pPr>
        <w:pStyle w:val="BodyText"/>
      </w:pPr>
      <w:r>
        <w:t xml:space="preserve">Далее используем наши инструменты и оценим модель с помощью двухшагового МНК. Оценки эффективны и состоятельны только в случае гомоскедастичности. Мы закрываем на это глаза, потому что нам не доступны другие процедуры.</w:t>
      </w:r>
    </w:p>
    <w:p>
      <w:pPr>
        <w:pStyle w:val="Figure"/>
      </w:pPr>
      <w:r>
        <w:drawing>
          <wp:inline>
            <wp:extent cx="5334000" cy="523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Видим, что F-статистика близка к 10, но все же меньше. Тест Саргана нам говорит, что при 1% уровне значимости мы можем говорить, что инструменты валидны.</w:t>
      </w:r>
    </w:p>
    <w:p>
      <w:pPr>
        <w:pStyle w:val="BodyText"/>
      </w:pPr>
      <w:r>
        <w:t xml:space="preserve">Далее мы проводим тест Хаусмана, что бы выбрать между обычной fe моделью и fe с инструментами</w:t>
      </w:r>
    </w:p>
    <w:p>
      <w:pPr>
        <w:pStyle w:val="BodyText"/>
      </w:pPr>
      <w:r>
        <w:rPr>
          <w:b/>
        </w:rPr>
        <w:t xml:space="preserve">xtivreg m lincome nfm e1_22c e1_24c e1_26c (cost_food = cost_eating_out e1_44c), fe</w:t>
      </w:r>
      <w:r>
        <w:br w:type="textWrapping"/>
      </w:r>
      <w:r>
        <w:rPr>
          <w:b/>
        </w:rPr>
        <w:t xml:space="preserve">est store fe_iv</w:t>
      </w:r>
      <w:r>
        <w:br w:type="textWrapping"/>
      </w:r>
      <w:r>
        <w:rPr>
          <w:b/>
        </w:rPr>
        <w:t xml:space="preserve">xtreg m lincome nfm e1_22c e1_24c e1_26c cost_food, fe</w:t>
      </w:r>
      <w:r>
        <w:br w:type="textWrapping"/>
      </w:r>
      <w:r>
        <w:rPr>
          <w:b/>
        </w:rPr>
        <w:t xml:space="preserve">est store fe</w:t>
      </w:r>
      <w:r>
        <w:br w:type="textWrapping"/>
      </w:r>
      <w:r>
        <w:rPr>
          <w:b/>
        </w:rPr>
        <w:t xml:space="preserve">hausman fe_iv fe</w:t>
      </w:r>
    </w:p>
    <w:p>
      <w:pPr>
        <w:pStyle w:val="Figure"/>
      </w:pPr>
      <w:r>
        <w:drawing>
          <wp:inline>
            <wp:extent cx="5334000" cy="1163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amishalkin.github.io/rubbish/stata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Результаты говорят о том, что разницы между моделями нет, но, наверное, стоит выбрать ту, которая даст наиболее эффективные оценки. Скорее всего, это будет fe без инструментов.</w:t>
      </w:r>
    </w:p>
    <w:p>
      <w:pPr>
        <w:pStyle w:val="Heading1"/>
      </w:pPr>
      <w:bookmarkStart w:id="68" w:name="-"/>
      <w:bookmarkEnd w:id="68"/>
      <w:r>
        <w:t xml:space="preserve">Список литературы</w:t>
      </w:r>
    </w:p>
    <w:p>
      <w:pPr>
        <w:pStyle w:val="FirstParagraph"/>
      </w:pPr>
      <w:r>
        <w:t xml:space="preserve">James R. Blaylock R., David M. Smallwood. 1986. U.S. Demand for Food: Household Expenditures, Demographics, and Projections. Technical bulletin 1713 (Washington D.C., U.S. Department of Agriculture, Economic Research Service, February)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732a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Дз№1</dc:title>
  <dc:creator>Иван Мишалкин Олеся Тухватшина</dc:creator>
  <dcterms:created xsi:type="dcterms:W3CDTF">2017-10-21T21:06:13Z</dcterms:created>
  <dcterms:modified xsi:type="dcterms:W3CDTF">2017-10-21T21:06:13Z</dcterms:modified>
</cp:coreProperties>
</file>