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sz w:val="32"/>
        </w:rPr>
        <w:t>AG983: Textual Analytics for Accounting and Finance</w:t>
      </w:r>
    </w:p>
    <w:p>
      <w:r>
        <w:rPr>
          <w:rFonts w:ascii="Calibri" w:hAnsi="Calibri"/>
          <w:b/>
          <w:sz w:val="26"/>
        </w:rPr>
        <w:t>Class 1 Workshop — Instructor Solutions and Guidance</w:t>
      </w:r>
    </w:p>
    <w:p>
      <w:pPr>
        <w:spacing w:after="320"/>
      </w:pPr>
      <w:r>
        <w:rPr>
          <w:rFonts w:ascii="Calibri" w:hAnsi="Calibri"/>
          <w:i/>
          <w:color w:val="787878"/>
          <w:sz w:val="20"/>
        </w:rPr>
        <w:t>For instructor use only. Not for distribution to students.</w:t>
      </w:r>
    </w:p>
    <w:p>
      <w:pPr>
        <w:spacing w:after="240"/>
      </w:pPr>
      <w:r>
        <w:t>This document provides model answers and instructor guidance for each question in the Class 1 Workshop Worksheet. Where questions are open-ended, the guidance sets out the key points students should address and what constitutes a satisfactory response. Specific figures (token counts, match percentages, sentiment scores) are drawn from the actual notebook output and are included to help instructors assess responses accurately.</w:t>
      </w:r>
    </w:p>
    <w:p>
      <w:pPr>
        <w:pStyle w:val="Heading1"/>
        <w:spacing w:before="240" w:after="80"/>
      </w:pPr>
      <w:r>
        <w:rPr>
          <w:rFonts w:ascii="Calibri" w:hAnsi="Calibri"/>
          <w:color w:val="000000"/>
          <w:sz w:val="28"/>
        </w:rPr>
        <w:t>Section A: Corpus Exploration</w:t>
      </w:r>
    </w:p>
    <w:p>
      <w:pPr>
        <w:spacing w:before="160" w:after="40"/>
      </w:pPr>
      <w:r>
        <w:rPr>
          <w:rFonts w:ascii="Calibri" w:hAnsi="Calibri"/>
          <w:b/>
          <w:sz w:val="22"/>
        </w:rPr>
        <w:t>Question 1a. How many emails are in the corpus? How are they distributed across the three time periods?</w:t>
      </w:r>
    </w:p>
    <w:p>
      <w:pPr>
        <w:spacing w:before="0" w:after="120"/>
        <w:ind w:left="432"/>
      </w:pPr>
      <w:r>
        <w:rPr>
          <w:rFonts w:ascii="Calibri" w:hAnsi="Calibri"/>
          <w:i/>
          <w:sz w:val="22"/>
        </w:rPr>
        <w:t>The corpus contains 1,000 emails. The distribution is: pre-crisis (2000) — 461 emails; crisis (2001) — 395 emails; collapse (late 2001 to 2002) — 144 emails. The pre-crisis period is largest because the Enron email archive is most complete before the company came under scrutiny and communications became more guarded.</w:t>
      </w:r>
    </w:p>
    <w:p>
      <w:pPr>
        <w:spacing w:before="160" w:after="40"/>
      </w:pPr>
      <w:r>
        <w:rPr>
          <w:rFonts w:ascii="Calibri" w:hAnsi="Calibri"/>
          <w:b/>
          <w:sz w:val="22"/>
        </w:rPr>
        <w:t>Question 1b. What is the mean email length, the range, and what does the variation suggest about register diversity?</w:t>
      </w:r>
    </w:p>
    <w:p>
      <w:pPr>
        <w:spacing w:before="0" w:after="120"/>
        <w:ind w:left="432"/>
      </w:pPr>
      <w:r>
        <w:rPr>
          <w:rFonts w:ascii="Calibri" w:hAnsi="Calibri"/>
          <w:i/>
          <w:sz w:val="22"/>
        </w:rPr>
        <w:t>The mean email length is approximately 65 words. The range runs from around 8 words (very short informal trading messages) to approximately 102 words (formal executive memoranda and risk reports). This variation reflects genuine register diversity in the corpus: short, colloquial internal messages from the trading floor sit alongside lengthy, formally structured communications from senior management. Students should identify that this diversity has preprocessing implications — a pipeline designed for long formal documents may perform differently on short informal messages.</w:t>
      </w:r>
    </w:p>
    <w:p>
      <w:pPr>
        <w:spacing w:before="160" w:after="40"/>
      </w:pPr>
      <w:r>
        <w:rPr>
          <w:rFonts w:ascii="Calibri" w:hAnsi="Calibri"/>
          <w:b/>
          <w:sz w:val="22"/>
        </w:rPr>
        <w:t>Question 1c. Identify at least three preprocessing challenges visible in the raw email.</w:t>
      </w:r>
    </w:p>
    <w:p>
      <w:pPr>
        <w:spacing w:before="0" w:after="120"/>
        <w:ind w:left="432"/>
      </w:pPr>
      <w:r>
        <w:rPr>
          <w:rFonts w:ascii="Calibri" w:hAnsi="Calibri"/>
          <w:i/>
          <w:sz w:val="22"/>
        </w:rPr>
        <w:t>The raw email displayed is an executive communication from the pre-crisis period. Typical preprocessing challenges visible in this email include: punctuation attached to words (e.g. 'billion.', 'targets.', 'units.', 'quarter,'); a dollar sign and number embedded in text ('$50.1 billion'); mixed case, with the word 'Revenue' capitalised where it might not be in other instances; and sentences that contain both modal verbs ('may', 'will') and negation ('not') that carry analytical weight. Accept any three well-observed challenges. Students who note the modal verbs and negation as a challenge specific to financial text are demonstrating above-average engagement with the lecture.</w:t>
      </w:r>
    </w:p>
    <w:p>
      <w:pPr>
        <w:pStyle w:val="Heading1"/>
        <w:spacing w:before="240" w:after="80"/>
      </w:pPr>
      <w:r>
        <w:rPr>
          <w:rFonts w:ascii="Calibri" w:hAnsi="Calibri"/>
          <w:color w:val="000000"/>
          <w:sz w:val="28"/>
        </w:rPr>
        <w:t>Section B: Tokenisation</w:t>
      </w:r>
    </w:p>
    <w:p>
      <w:pPr>
        <w:spacing w:before="160" w:after="40"/>
      </w:pPr>
      <w:r>
        <w:rPr>
          <w:rFonts w:ascii="Calibri" w:hAnsi="Calibri"/>
          <w:b/>
          <w:sz w:val="22"/>
        </w:rPr>
        <w:t>Question 2a. How many tokens does NLTK produce compared with whitespace splitting? Which is larger and why?</w:t>
      </w:r>
    </w:p>
    <w:p>
      <w:pPr>
        <w:spacing w:before="0" w:after="120"/>
        <w:ind w:left="432"/>
      </w:pPr>
      <w:r>
        <w:rPr>
          <w:rFonts w:ascii="Calibri" w:hAnsi="Calibri"/>
          <w:i/>
          <w:sz w:val="22"/>
        </w:rPr>
        <w:t>NLTK's word_tokenize produces more tokens than whitespace splitting — in this case approximately 88 versus 80 for the sample email, a difference of 8. NLTK produces more tokens because it separates punctuation marks from the words they are attached to. Where whitespace splitting treats 'billion.' as a single token, NLTK produces 'billion' and '.' as two distinct tokens. Students should articulate that this is not a flaw but a deliberate design choice: the resulting tokens are cleaner for downstream matching.</w:t>
      </w:r>
    </w:p>
    <w:p>
      <w:pPr>
        <w:spacing w:before="160" w:after="40"/>
      </w:pPr>
      <w:r>
        <w:rPr>
          <w:rFonts w:ascii="Calibri" w:hAnsi="Calibri"/>
          <w:b/>
          <w:sz w:val="22"/>
        </w:rPr>
        <w:t>Question 2b. Will a whitespace tokeniser match 'losses.' against the Loughran-McDonald dictionary?</w:t>
      </w:r>
    </w:p>
    <w:p>
      <w:pPr>
        <w:spacing w:before="0" w:after="120"/>
        <w:ind w:left="432"/>
      </w:pPr>
      <w:r>
        <w:rPr>
          <w:rFonts w:ascii="Calibri" w:hAnsi="Calibri"/>
          <w:i/>
          <w:sz w:val="22"/>
        </w:rPr>
        <w:t>No. A whitespace tokeniser treats 'losses.' as a single token. The Loughran-McDonald dictionary holds the entry 'losses' without a full stop. Because the strings do not match exactly, the token is not recognised and no sentiment label is assigned. This is a silent failure — no error is raised, but the word contributes nothing to the sentiment score. Students should be clear that dictionary matching is case-sensitive and exact; any deviation in the token form results in a missed match.</w:t>
      </w:r>
    </w:p>
    <w:p>
      <w:pPr>
        <w:spacing w:before="160" w:after="40"/>
      </w:pPr>
      <w:r>
        <w:rPr>
          <w:rFonts w:ascii="Calibri" w:hAnsi="Calibri"/>
          <w:b/>
          <w:sz w:val="22"/>
        </w:rPr>
        <w:t>Question 2c. Why does the tokenisation method matter for the reliability of a sentiment score?</w:t>
      </w:r>
    </w:p>
    <w:p>
      <w:pPr>
        <w:spacing w:before="0" w:after="120"/>
        <w:ind w:left="432"/>
      </w:pPr>
      <w:r>
        <w:rPr>
          <w:rFonts w:ascii="Calibri" w:hAnsi="Calibri"/>
          <w:i/>
          <w:sz w:val="22"/>
        </w:rPr>
        <w:t>Because dictionary-based sentiment methods assign labels by exact string matching, the form of each token must match the dictionary entry precisely. If tokenisation leaves punctuation attached, words that appear in the dictionary will be missed. Across a large corpus, this produces systematic underestimation of both positive and negative sentiment signals. The bias is not random — words at the end of sentences are most affected — and it cannot be corrected post hoc without re-tokenising the corpus. Students should connect this to the broader point that preprocessing errors compound: a poor early decision degrades all subsequent analysis.</w:t>
      </w:r>
    </w:p>
    <w:p>
      <w:pPr>
        <w:pStyle w:val="Heading1"/>
        <w:spacing w:before="240" w:after="80"/>
      </w:pPr>
      <w:r>
        <w:rPr>
          <w:rFonts w:ascii="Calibri" w:hAnsi="Calibri"/>
          <w:color w:val="000000"/>
          <w:sz w:val="28"/>
        </w:rPr>
        <w:t>Section C: Case Folding and Punctuation Removal</w:t>
      </w:r>
    </w:p>
    <w:p>
      <w:pPr>
        <w:spacing w:before="160" w:after="40"/>
      </w:pPr>
      <w:r>
        <w:rPr>
          <w:rFonts w:ascii="Calibri" w:hAnsi="Calibri"/>
          <w:b/>
          <w:sz w:val="22"/>
        </w:rPr>
        <w:t>Question 3a. What is the most obvious change between the 'NLTK tokenise only' and 'Case-fold + punct removed' panels?</w:t>
      </w:r>
    </w:p>
    <w:p>
      <w:pPr>
        <w:spacing w:before="0" w:after="120"/>
        <w:ind w:left="432"/>
      </w:pPr>
      <w:r>
        <w:rPr>
          <w:rFonts w:ascii="Calibri" w:hAnsi="Calibri"/>
          <w:i/>
          <w:sz w:val="22"/>
        </w:rPr>
        <w:t>The most obvious change is that the top tokens shift from a mixture of capitalised and lowercase forms (and include punctuation-attached variants) to a uniform set of lowercase alphabetic tokens. In the 'NLTK tokenise only' panel, tokens such as 'The', 'I', and 'We' appear separately from their lowercase counterparts, and punctuation marks appear as individual high-frequency tokens. After case folding and punctuation removal, these collapse into single entries and punctuation tokens disappear entirely, revealing the true frequency distribution of content-bearing words.</w:t>
      </w:r>
    </w:p>
    <w:p>
      <w:pPr>
        <w:spacing w:before="160" w:after="40"/>
      </w:pPr>
      <w:r>
        <w:rPr>
          <w:rFonts w:ascii="Calibri" w:hAnsi="Calibri"/>
          <w:b/>
          <w:sz w:val="22"/>
        </w:rPr>
        <w:t>Question 3b. For a corpus of corporate email, would you retain or remove '!' and '?'?</w:t>
      </w:r>
    </w:p>
    <w:p>
      <w:pPr>
        <w:spacing w:before="0" w:after="120"/>
        <w:ind w:left="432"/>
      </w:pPr>
      <w:r>
        <w:rPr>
          <w:rFonts w:ascii="Calibri" w:hAnsi="Calibri"/>
          <w:i/>
          <w:sz w:val="22"/>
        </w:rPr>
        <w:t>For formal corporate disclosure text, the case for retaining '!' and '?' is weak. Exclamation marks are rare in regulatory filings and formal executive communications; where they do appear in email they may signal informality rather than strong sentiment. Renault's (2020) finding of a 0.3% accuracy gain applies to financial social media messages, where '!' is common and expressive. Students who argue for removal — on the grounds that these characters carry little signal in corporate text and add noise — are correct. Students who argue for retention with a clear domain justification (e.g. the informal trading emails in this corpus) should also be credited. The key requirement is that the answer is grounded in the type of text being analysed.</w:t>
      </w:r>
    </w:p>
    <w:p>
      <w:pPr>
        <w:spacing w:before="160" w:after="40"/>
      </w:pPr>
      <w:r>
        <w:rPr>
          <w:rFonts w:ascii="Calibri" w:hAnsi="Calibri"/>
          <w:b/>
          <w:sz w:val="22"/>
        </w:rPr>
        <w:t>Question 3c. What happens to 'EBITDA' after case folding? Is this a problem?</w:t>
      </w:r>
    </w:p>
    <w:p>
      <w:pPr>
        <w:spacing w:before="0" w:after="120"/>
        <w:ind w:left="432"/>
      </w:pPr>
      <w:r>
        <w:rPr>
          <w:rFonts w:ascii="Calibri" w:hAnsi="Calibri"/>
          <w:i/>
          <w:sz w:val="22"/>
        </w:rPr>
        <w:t>Case folding converts 'EBITDA' to 'ebitda'. This is potentially problematic for dictionary-based sentiment analysis if the dictionary holds entries in uppercase or mixed case. In practice, the Loughran-McDonald dictionary holds entries in lowercase, so this particular acronym — which is not a sentiment-bearing term — is unaffected. However, the principle holds: acronyms that are meaningful financial signals (e.g. 'LIBOR', 'GAAP') may behave differently depending on how the dictionary was constructed. A strong answer will note that case folding is generally safe when the dictionary is also lowercase, but that domain-specific acronyms warrant careful inspection.</w:t>
      </w:r>
    </w:p>
    <w:p>
      <w:pPr>
        <w:pStyle w:val="Heading1"/>
        <w:spacing w:before="240" w:after="80"/>
      </w:pPr>
      <w:r>
        <w:rPr>
          <w:rFonts w:ascii="Calibri" w:hAnsi="Calibri"/>
          <w:color w:val="000000"/>
          <w:sz w:val="28"/>
        </w:rPr>
        <w:t>Section D: Stop-Word Removal</w:t>
      </w:r>
    </w:p>
    <w:p>
      <w:pPr>
        <w:spacing w:before="160" w:after="40"/>
      </w:pPr>
      <w:r>
        <w:rPr>
          <w:rFonts w:ascii="Calibri" w:hAnsi="Calibri"/>
          <w:b/>
          <w:sz w:val="22"/>
        </w:rPr>
        <w:t>Question 4a. List three finance-significant terms present in NLTK's standard stop-word list.</w:t>
      </w:r>
    </w:p>
    <w:p>
      <w:pPr>
        <w:spacing w:before="0" w:after="120"/>
        <w:ind w:left="432"/>
      </w:pPr>
      <w:r>
        <w:rPr>
          <w:rFonts w:ascii="Calibri" w:hAnsi="Calibri"/>
          <w:i/>
          <w:sz w:val="22"/>
        </w:rPr>
        <w:t>The Step 0 output lists the following terms from the FINANCE_PROTECTED set that are also present in NLTK's standard list: above, after, against, before, below, between, can, down, during, further, more, no, nor, not, over, should, through, under, until, up, very, will. Any three of these with a plausible analytical justification should be accepted. The most analytically significant are: 'not' (negation), 'will' (forward-looking commitment), 'should' (obligation), 'can' (capability), 'no' (negation), 'up' and 'down' (directional signals). Students who pick these over less obvious choices such as 'further' or 'during' demonstrate stronger domain awareness.</w:t>
      </w:r>
    </w:p>
    <w:p>
      <w:pPr>
        <w:spacing w:before="160" w:after="40"/>
      </w:pPr>
      <w:r>
        <w:rPr>
          <w:rFonts w:ascii="Calibri" w:hAnsi="Calibri"/>
          <w:b/>
          <w:sz w:val="22"/>
        </w:rPr>
        <w:t>Question 4b. Why would removing these terms damage a sentiment analysis of corporate email?</w:t>
      </w:r>
    </w:p>
    <w:p>
      <w:pPr>
        <w:spacing w:before="0" w:after="120"/>
        <w:ind w:left="432"/>
      </w:pPr>
      <w:r>
        <w:rPr>
          <w:rFonts w:ascii="Calibri" w:hAnsi="Calibri"/>
          <w:i/>
          <w:sz w:val="22"/>
        </w:rPr>
        <w:t>Removing negation terms such as 'not' and 'no' changes the meaning of sentences in ways that systematically distort sentiment scores. 'Not material' becomes 'material'; 'no guarantee' becomes 'guarantee'. Removing modal verbs such as 'will' and 'should' eliminates the forward-looking and uncertainty signals that are among the most analytically rich features of corporate disclosure — exactly the signals identified by Loughran and McDonald (2011) as carrying the most information about managerial intent. Students should make the connection between the loss of specific token types and the downstream effect on the validity of the sentiment score.</w:t>
      </w:r>
    </w:p>
    <w:p>
      <w:pPr>
        <w:spacing w:before="160" w:after="40"/>
      </w:pPr>
      <w:r>
        <w:rPr>
          <w:rFonts w:ascii="Calibri" w:hAnsi="Calibri"/>
          <w:b/>
          <w:sz w:val="22"/>
        </w:rPr>
        <w:t>Question 4c. Give example sentences for 'not', 'will', and 'down'.</w:t>
      </w:r>
    </w:p>
    <w:p>
      <w:pPr>
        <w:spacing w:before="0" w:after="120"/>
        <w:ind w:left="432"/>
      </w:pPr>
      <w:r>
        <w:rPr>
          <w:rFonts w:ascii="Calibri" w:hAnsi="Calibri"/>
          <w:i/>
          <w:sz w:val="22"/>
        </w:rPr>
        <w:t>Acceptable examples include: 'not' — 'The liability is not material to our financial position' (removing 'not' converts a reassuring statement into an alarming one); 'will' — 'Earnings will exceed analyst expectations in the second quarter' (removing 'will' loses the forward-looking commitment); 'down' — 'Revenue was down 12% year-on-year' (removing 'down' eliminates the directional signal entirely, leaving only 'Revenue 12% year-on-year'). Students should demonstrate that the loss of these terms changes the meaning of the sentence, not merely its length.</w:t>
      </w:r>
    </w:p>
    <w:p>
      <w:pPr>
        <w:spacing w:before="160" w:after="40"/>
      </w:pPr>
      <w:r>
        <w:rPr>
          <w:rFonts w:ascii="Calibri" w:hAnsi="Calibri"/>
          <w:b/>
          <w:sz w:val="22"/>
        </w:rPr>
        <w:t>Question 4d. Which stop-word setting did you select? Justify your choice.</w:t>
      </w:r>
    </w:p>
    <w:p>
      <w:pPr>
        <w:spacing w:before="0" w:after="120"/>
        <w:ind w:left="432"/>
      </w:pPr>
      <w:r>
        <w:rPr>
          <w:rFonts w:ascii="Calibri" w:hAnsi="Calibri"/>
          <w:i/>
          <w:sz w:val="22"/>
        </w:rPr>
        <w:t>The finance-adjusted list is the defensible choice for this corpus and should be the expected answer. Students who choose the standard NLTK list should be asked to explain how they would handle the negation and modal verb problem. Students who choose no stop-word removal at all should explain why the increase in vocabulary size is justified and how high-frequency function words will affect their analysis. Any choice is acceptable provided the justification engages substantively with the trade-offs discussed in the lecture and with Renault (2020).</w:t>
      </w:r>
    </w:p>
    <w:p>
      <w:pPr>
        <w:pStyle w:val="Heading1"/>
        <w:spacing w:before="240" w:after="80"/>
      </w:pPr>
      <w:r>
        <w:rPr>
          <w:rFonts w:ascii="Calibri" w:hAnsi="Calibri"/>
          <w:color w:val="000000"/>
          <w:sz w:val="28"/>
        </w:rPr>
        <w:t>Section E: Normalisation</w:t>
      </w:r>
    </w:p>
    <w:p>
      <w:pPr>
        <w:spacing w:before="160" w:after="40"/>
      </w:pPr>
      <w:r>
        <w:rPr>
          <w:rFonts w:ascii="Calibri" w:hAnsi="Calibri"/>
          <w:b/>
          <w:sz w:val="22"/>
        </w:rPr>
        <w:t>Question 5a. What is the consequence of 'declin' not matching the LM dictionary?</w:t>
      </w:r>
    </w:p>
    <w:p>
      <w:pPr>
        <w:spacing w:before="0" w:after="120"/>
        <w:ind w:left="432"/>
      </w:pPr>
      <w:r>
        <w:rPr>
          <w:rFonts w:ascii="Calibri" w:hAnsi="Calibri"/>
          <w:i/>
          <w:sz w:val="22"/>
        </w:rPr>
        <w:t>The token 'declin', produced by Porter stemming from 'declining', does not appear in the Loughran-McDonald dictionary. The dictionary holds 'decline', not 'declin'. The consequence is that every occurrence of 'declining' in the corpus contributes nothing to the sentiment score: it is not classified as negative, positive, or uncertain. Across a corpus where terms like 'declining revenue' and 'declining earnings' are common, this produces a systematic underestimation of negative sentiment. The error is silent — no warning is raised — and compounds at scale.</w:t>
      </w:r>
    </w:p>
    <w:p>
      <w:pPr>
        <w:spacing w:before="160" w:after="40"/>
      </w:pPr>
      <w:r>
        <w:rPr>
          <w:rFonts w:ascii="Calibri" w:hAnsi="Calibri"/>
          <w:b/>
          <w:sz w:val="22"/>
        </w:rPr>
        <w:t>Question 5b. Find one example where lemmatisation preserves an LM match that stemming does not.</w:t>
      </w:r>
    </w:p>
    <w:p>
      <w:pPr>
        <w:spacing w:before="0" w:after="120"/>
        <w:ind w:left="432"/>
      </w:pPr>
      <w:r>
        <w:rPr>
          <w:rFonts w:ascii="Calibri" w:hAnsi="Calibri"/>
          <w:i/>
          <w:sz w:val="22"/>
        </w:rPr>
        <w:t>Several clear examples are visible in the Step 6 table. The most straightforward: 'declining' — Porter stem is 'declin' (not in LM), lemma is 'declining' (in LM as negative). Others include: 'adverse' — stem 'advers' (not in LM), lemma 'adverse' (LM negative); 'failure' — stem 'failur' (not in LM), lemma 'failure' (LM negative); 'deteriorate' — stem 'deterior' (not in LM), lemma 'deteriorate' (LM negative). Any of these is a correct answer. Students who identify multiple examples and comment on the pattern — that stemming destroys the real-word form that the dictionary requires — should be given full credit.</w:t>
      </w:r>
    </w:p>
    <w:p>
      <w:pPr>
        <w:spacing w:before="160" w:after="40"/>
      </w:pPr>
      <w:r>
        <w:rPr>
          <w:rFonts w:ascii="Calibri" w:hAnsi="Calibri"/>
          <w:b/>
          <w:sz w:val="22"/>
        </w:rPr>
        <w:t>Question 5c. Is computational cost a meaningful constraint for 1,000 emails? What about one million SEC filings?</w:t>
      </w:r>
    </w:p>
    <w:p>
      <w:pPr>
        <w:spacing w:before="0" w:after="120"/>
        <w:ind w:left="432"/>
      </w:pPr>
      <w:r>
        <w:rPr>
          <w:rFonts w:ascii="Calibri" w:hAnsi="Calibri"/>
          <w:i/>
          <w:sz w:val="22"/>
        </w:rPr>
        <w:t>For 1,000 emails, computational cost is not a meaningful constraint. Lemmatisation runs in seconds on a corpus of this size, even on a standard laptop. The argument for stemming on grounds of speed is not credible here. For a corpus of one million SEC filings — a realistic scale for empirical accounting research — computational cost becomes more relevant, though modern hardware and efficient implementations of lemmatisation (e.g. spaCy with GPU support) make it tractable. The more important consideration at large scale is that the cost of poor normalisation, in terms of missed dictionary matches, grows proportionally with corpus size. Students should recognise that the trade-off looks different at different scales, and that lemmatisation is generally preferred for financial text when feasible.</w:t>
      </w:r>
    </w:p>
    <w:p>
      <w:pPr>
        <w:spacing w:before="160" w:after="40"/>
      </w:pPr>
      <w:r>
        <w:rPr>
          <w:rFonts w:ascii="Calibri" w:hAnsi="Calibri"/>
          <w:b/>
          <w:sz w:val="22"/>
        </w:rPr>
        <w:t>Question 5d. Which normalisation method did you select? Justify your choice.</w:t>
      </w:r>
    </w:p>
    <w:p>
      <w:pPr>
        <w:spacing w:before="0" w:after="120"/>
        <w:ind w:left="432"/>
      </w:pPr>
      <w:r>
        <w:rPr>
          <w:rFonts w:ascii="Calibri" w:hAnsi="Calibri"/>
          <w:i/>
          <w:sz w:val="22"/>
        </w:rPr>
        <w:t>Lemmatisation is the expected choice. Students should cite the dictionary matching argument: stemming produces forms that do not appear in the Loughran-McDonald lexicon, resulting in missed sentiment matches. Renault (2020) provides empirical support: stemming decreases financial sentiment classification accuracy. Students who choose no normalisation should explain how they will handle morphological variants across the corpus (e.g. 'loss' vs 'losses' vs 'losing'). Students who choose stemming should acknowledge its limitations for dictionary-based methods and explain why they consider the trade-offs acceptable.</w:t>
      </w:r>
    </w:p>
    <w:p>
      <w:pPr>
        <w:pStyle w:val="Heading1"/>
        <w:spacing w:before="240" w:after="80"/>
      </w:pPr>
      <w:r>
        <w:rPr>
          <w:rFonts w:ascii="Calibri" w:hAnsi="Calibri"/>
          <w:color w:val="000000"/>
          <w:sz w:val="28"/>
        </w:rPr>
        <w:t>Section F: The Pipeline Diagnostic</w:t>
      </w:r>
    </w:p>
    <w:p>
      <w:pPr>
        <w:spacing w:before="160" w:after="40"/>
      </w:pPr>
      <w:r>
        <w:rPr>
          <w:rFonts w:ascii="Calibri" w:hAnsi="Calibri"/>
          <w:b/>
          <w:sz w:val="22"/>
        </w:rPr>
        <w:t>Question 6a. Record the LM match counts for your pipeline and the misconfigured pipeline.</w:t>
      </w:r>
    </w:p>
    <w:p>
      <w:pPr>
        <w:spacing w:before="0" w:after="120"/>
        <w:ind w:left="432"/>
      </w:pPr>
      <w:r>
        <w:rPr>
          <w:rFonts w:ascii="Calibri" w:hAnsi="Calibri"/>
          <w:i/>
          <w:sz w:val="22"/>
        </w:rPr>
        <w:t>With the recommended settings (finance-adjusted stop-words, number removal, lemmatisation), the pipeline produces approximately 1,529 LM positive matches and 1,990 LM negative matches, giving a total of 3,519 matches. The misconfigured pipeline (standard NLTK stop-words, numbers retained, Porter stemming) produces approximately 434 positive and 1,331 negative matches, totalling 1,765. Students using different stop-word or normalisation settings will obtain different figures. The direction of the difference — finance-adjusted pipeline outperforming the misconfigured one — should be consistent regardless of individual choices, provided the finance-adjusted list and lemmatisation are selected.</w:t>
      </w:r>
    </w:p>
    <w:p>
      <w:pPr>
        <w:spacing w:before="160" w:after="40"/>
      </w:pPr>
      <w:r>
        <w:rPr>
          <w:rFonts w:ascii="Calibri" w:hAnsi="Calibri"/>
          <w:b/>
          <w:sz w:val="22"/>
        </w:rPr>
        <w:t>Question 6b. By what percentage does your pipeline produce more matches? Which decisions account for the difference?</w:t>
      </w:r>
    </w:p>
    <w:p>
      <w:pPr>
        <w:spacing w:before="0" w:after="120"/>
        <w:ind w:left="432"/>
      </w:pPr>
      <w:r>
        <w:rPr>
          <w:rFonts w:ascii="Calibri" w:hAnsi="Calibri"/>
          <w:i/>
          <w:sz w:val="22"/>
        </w:rPr>
        <w:t>With the recommended settings, the finance-adjusted pipeline produces approximately 99% more total LM matches than the misconfigured pipeline. The two decisions that account for the majority of the difference are: (1) stop-word removal — the finance-adjusted list retains modal verbs and negation terms that the standard NLTK list removes, and several of these terms appear in the LM dictionary; and (2) lemmatisation versus stemming — lemmatisation preserves dictionary-matchable word forms that Porter stemming destroys. Number handling has a smaller effect. Students should identify both main drivers; crediting only one suggests incomplete analysis.</w:t>
      </w:r>
    </w:p>
    <w:p>
      <w:pPr>
        <w:spacing w:before="160" w:after="40"/>
      </w:pPr>
      <w:r>
        <w:rPr>
          <w:rFonts w:ascii="Calibri" w:hAnsi="Calibri"/>
          <w:b/>
          <w:sz w:val="22"/>
        </w:rPr>
        <w:t>Question 6c. Describe the net sentiment pattern across the three periods. Does it match expectations?</w:t>
      </w:r>
    </w:p>
    <w:p>
      <w:pPr>
        <w:spacing w:before="0" w:after="120"/>
        <w:ind w:left="432"/>
      </w:pPr>
      <w:r>
        <w:rPr>
          <w:rFonts w:ascii="Calibri" w:hAnsi="Calibri"/>
          <w:i/>
          <w:sz w:val="22"/>
        </w:rPr>
        <w:t>The net LM sentiment scores are: pre-crisis -1.08%, crisis -1.36%, collapse -1.18%. The crisis period is the most negative, which broadly aligns with expectations given the accounting scandal and share price collapse. However, the collapse period is less negative than the crisis period, which is counterintuitive — one might expect the period of actual bankruptcy to register the most negative language. This is the pedagogically important finding: during the collapse, executives were actively writing reassuring communications to employees and investors, producing language that is less negative in LM terms than the underlying financial reality. This is a direct illustration of self-reporting bias and incentive bias. Award marks for correctly reading the chart and, at higher levels, for recognising that the pattern reflects strategic language management rather than financial conditions.</w:t>
      </w:r>
    </w:p>
    <w:p>
      <w:pPr>
        <w:spacing w:before="160" w:after="40"/>
      </w:pPr>
      <w:r>
        <w:rPr>
          <w:rFonts w:ascii="Calibri" w:hAnsi="Calibri"/>
          <w:b/>
          <w:sz w:val="22"/>
        </w:rPr>
        <w:t>Question 6d. Is Renault's (2020) claim that pipeline quality matters more than algorithm choice plausible?</w:t>
      </w:r>
    </w:p>
    <w:p>
      <w:pPr>
        <w:spacing w:before="0" w:after="120"/>
        <w:ind w:left="432"/>
      </w:pPr>
      <w:r>
        <w:rPr>
          <w:rFonts w:ascii="Calibri" w:hAnsi="Calibri"/>
          <w:i/>
          <w:sz w:val="22"/>
        </w:rPr>
        <w:t>Yes, and this exercise provides direct evidence for it. The same corpus, analysed with the same dictionary, produces approximately twice as many valid sentiment matches under the finance-adjusted pipeline compared with the misconfigured one. The variation in match counts resulting from pipeline decisions — stop-word list, normalisation method, number handling — exceeds what would plausibly result from switching between, say, two dictionary methods or two machine learning algorithms applied to poorly preprocessed text. Students should make this argument concisely and should reference the specific improvement figures from the diagnostic output.</w:t>
      </w:r>
    </w:p>
    <w:p>
      <w:pPr>
        <w:pStyle w:val="Heading1"/>
        <w:spacing w:before="240" w:after="80"/>
      </w:pPr>
      <w:r>
        <w:rPr>
          <w:rFonts w:ascii="Calibri" w:hAnsi="Calibri"/>
          <w:color w:val="000000"/>
          <w:sz w:val="28"/>
        </w:rPr>
        <w:t>Section G: Dictionary Comparison</w:t>
      </w:r>
    </w:p>
    <w:p>
      <w:pPr>
        <w:spacing w:before="160" w:after="40"/>
      </w:pPr>
      <w:r>
        <w:rPr>
          <w:rFonts w:ascii="Calibri" w:hAnsi="Calibri"/>
          <w:b/>
          <w:sz w:val="22"/>
        </w:rPr>
        <w:t>Question 7a. List three terms flagged negative by the Harvard GI but not by LM, and explain why.</w:t>
      </w:r>
    </w:p>
    <w:p>
      <w:pPr>
        <w:spacing w:before="0" w:after="120"/>
        <w:ind w:left="432"/>
      </w:pPr>
      <w:r>
        <w:rPr>
          <w:rFonts w:ascii="Calibri" w:hAnsi="Calibri"/>
          <w:i/>
          <w:sz w:val="22"/>
        </w:rPr>
        <w:t>The notebook output shows terms including: 'board', 'capital', 'cost', 'risk', 'regulatory', 'complex', 'expense', 'lower', 'alarm', 'limited'. Three strong examples: 'capital' — treated as negative in general English perhaps due to associations with capital punishment, but in financial text it refers to financial resources and is entirely neutral; 'risk' — the Harvard GI may classify this as negative because risk connotes danger, but in corporate disclosure 'risk' is a standard structural category (Risk Factors section) and its presence tells us nothing about sentiment; 'cost' — generic business vocabulary that the Harvard GI associates with burden but which financial analysts treat as routine. Students should demonstrate that they understand the domain-specificity argument, not merely list the terms.</w:t>
      </w:r>
    </w:p>
    <w:p>
      <w:pPr>
        <w:spacing w:before="160" w:after="40"/>
      </w:pPr>
      <w:r>
        <w:rPr>
          <w:rFonts w:ascii="Calibri" w:hAnsi="Calibri"/>
          <w:b/>
          <w:sz w:val="22"/>
        </w:rPr>
        <w:t>Question 7b. List three terms flagged negative by LM but not by the Harvard GI, and explain why.</w:t>
      </w:r>
    </w:p>
    <w:p>
      <w:pPr>
        <w:spacing w:before="0" w:after="120"/>
        <w:ind w:left="432"/>
      </w:pPr>
      <w:r>
        <w:rPr>
          <w:rFonts w:ascii="Calibri" w:hAnsi="Calibri"/>
          <w:i/>
          <w:sz w:val="22"/>
        </w:rPr>
        <w:t>The notebook output includes: 'catastrophic', 'collapsed', 'breached', 'concealing', 'deteriorated', 'disappointing', 'disruption'. Three strong examples: 'breached' — carries strong negative meaning in financial and legal contexts (breach of covenant, regulatory breach) that the general Harvard list misses because the word is too domain-specific; 'concealing' — implies deliberate non-disclosure, highly negative in a regulatory context; 'catastrophic' — LM captures this as a severe negative outcome signal. Students should articulate that these terms are specifically negative in a financial and corporate governance context, even if they are not the most common negative words in general usage.</w:t>
      </w:r>
    </w:p>
    <w:p>
      <w:pPr>
        <w:spacing w:before="160" w:after="40"/>
      </w:pPr>
      <w:r>
        <w:rPr>
          <w:rFonts w:ascii="Calibri" w:hAnsi="Calibri"/>
          <w:b/>
          <w:sz w:val="22"/>
        </w:rPr>
        <w:t>Question 7c. Which dictionary would you use for a study of corporate sentiment in SEC filings?</w:t>
      </w:r>
    </w:p>
    <w:p>
      <w:pPr>
        <w:spacing w:before="0" w:after="120"/>
        <w:ind w:left="432"/>
      </w:pPr>
      <w:r>
        <w:rPr>
          <w:rFonts w:ascii="Calibri" w:hAnsi="Calibri"/>
          <w:i/>
          <w:sz w:val="22"/>
        </w:rPr>
        <w:t>The Loughran-McDonald dictionary is the appropriate choice for SEC filings and should be the expected answer. It was constructed specifically for financial text and has been validated against corporate disclosure documents. The Harvard General Inquirer was developed for general English text and, as Loughran and McDonald (2011) demonstrate, misclassifies a substantial proportion of financial vocabulary. Students who argue for the Harvard dictionary must account for this empirical evidence. Students who argue for neither — preferring a machine learning approach or a purpose-built financial classifier — should be credited if they acknowledge the LM dictionary as the relevant benchmark and explain what additional evidence would be needed.</w:t>
      </w:r>
    </w:p>
    <w:p>
      <w:pPr>
        <w:pStyle w:val="Heading1"/>
        <w:spacing w:before="240" w:after="80"/>
      </w:pPr>
      <w:r>
        <w:rPr>
          <w:rFonts w:ascii="Calibri" w:hAnsi="Calibri"/>
          <w:color w:val="000000"/>
          <w:sz w:val="28"/>
        </w:rPr>
        <w:t>Section H: Corpus Bias</w:t>
      </w:r>
    </w:p>
    <w:p>
      <w:pPr>
        <w:spacing w:before="160" w:after="40"/>
      </w:pPr>
      <w:r>
        <w:rPr>
          <w:rFonts w:ascii="Calibri" w:hAnsi="Calibri"/>
          <w:b/>
          <w:sz w:val="22"/>
        </w:rPr>
        <w:t>Question 8. Apply the six bias types to the Enron corpus.</w:t>
      </w:r>
    </w:p>
    <w:p>
      <w:pPr>
        <w:spacing w:before="0" w:after="120"/>
        <w:ind w:left="432"/>
      </w:pPr>
      <w:r>
        <w:rPr>
          <w:rFonts w:ascii="Calibri" w:hAnsi="Calibri"/>
          <w:i/>
          <w:sz w:val="22"/>
        </w:rPr>
        <w:t>Resource bias: applies. The corpus consists of emails from senior executives, traders, and managers — employees with the resources and organisational access to produce written records. Hourly workers, administrative staff, and employees without regular email access are underrepresented. Medium bias: applies. All texts are emails, which imposes specific register conventions (subject lines, salutations, brevity norms on some messages). Comparing these with, say, earnings call transcripts or annual report narratives would not be straightforward without accounting for medium. Retrieval bias: applies. The corpus represents a curated sample from the full archive; the selection criteria used in building this teaching corpus emphasise certain senders and periods. Survivorship bias: applies. The emails represent Enron as it existed during the recorded period. Employees who left before the archive was compiled, and communications that were deleted or not captured by the FERC, are absent. Incentive bias: applies strongly. Enron employees knew or suspected that their emails might be subject to regulatory scrutiny, particularly from late 2001 onwards; communications may have been self-censored accordingly. Self-reporting bias: applies strongly. Authors chose what to communicate and how to frame it, particularly executives writing to all-staff audiences. Accept any well-argued response that engages with the specific features of this corpus rather than reciting definitions.</w:t>
      </w:r>
    </w:p>
    <w:p>
      <w:pPr>
        <w:spacing w:before="160" w:after="40"/>
      </w:pPr>
      <w:r>
        <w:rPr>
          <w:rFonts w:ascii="Calibri" w:hAnsi="Calibri"/>
          <w:b/>
          <w:sz w:val="22"/>
        </w:rPr>
        <w:t>Question 9. Does the executive category show the pattern predicted by incentive bias?</w:t>
      </w:r>
    </w:p>
    <w:p>
      <w:pPr>
        <w:spacing w:before="0" w:after="120"/>
        <w:ind w:left="432"/>
      </w:pPr>
      <w:r>
        <w:rPr>
          <w:rFonts w:ascii="Calibri" w:hAnsi="Calibri"/>
          <w:i/>
          <w:sz w:val="22"/>
        </w:rPr>
        <w:t>Yes — and the finding is striking. The net LM sentiment for the executive category across the three periods is: pre-crisis -1.12%, crisis -0.93%, collapse -0.69%. Counterintuitively, executive language becomes less negative as the firm's financial position deteriorates. During the collapse period — when Enron had already filed for Chapter 11 — executives produced the least negative language of any period. By contrast, the risk category shows a consistently negative signal (-5.21% to -5.29%) that barely moves across periods, and the all-staff category becomes more negative during crisis and collapse, reflecting the genuine anxiety of non-executive employees with less control over their language. This pattern is a textbook illustration of incentive bias: executives had the strongest strategic incentive to frame communications positively, and the LM signal reflects impression management rather than financial conditions. Students should recognise that this does not mean the LM method is wrong — it is measuring language correctly — but that the language itself is a strategic artefact. This is the central validity problem in corporate text analysis.</w:t>
      </w:r>
    </w:p>
    <w:p>
      <w:pPr>
        <w:pStyle w:val="Heading1"/>
        <w:spacing w:before="240" w:after="80"/>
      </w:pPr>
      <w:r>
        <w:rPr>
          <w:rFonts w:ascii="Calibri" w:hAnsi="Calibri"/>
          <w:color w:val="000000"/>
          <w:sz w:val="28"/>
        </w:rPr>
        <w:t>Section I: Your Pipeline</w:t>
      </w:r>
    </w:p>
    <w:p>
      <w:pPr>
        <w:spacing w:before="160" w:after="40"/>
      </w:pPr>
      <w:r>
        <w:rPr>
          <w:rFonts w:ascii="Calibri" w:hAnsi="Calibri"/>
          <w:b/>
          <w:sz w:val="22"/>
        </w:rPr>
        <w:t>Question 10. Final pipeline settings and justifications.</w:t>
      </w:r>
    </w:p>
    <w:p>
      <w:pPr>
        <w:spacing w:before="0" w:after="120"/>
        <w:ind w:left="432"/>
      </w:pPr>
      <w:r>
        <w:rPr>
          <w:rFonts w:ascii="Calibri" w:hAnsi="Calibri"/>
          <w:i/>
          <w:sz w:val="22"/>
        </w:rPr>
        <w:t>The expected pipeline for this corpus: NLTK word_tokenize (handles punctuation and contractions correctly); case folding yes (standardises token forms); punctuation removal yes (prevents duplicate token forms); finance-adjusted stop-word list (retains modal verbs and negation following Loughran and McDonald, 2011, and Renault, 2020); number removal (monetary values carry magnitude not linguistic tone); lemmatisation (preserves dictionary-matchable word forms, avoids the stem-mismatch problem); min_df of 2 (removes hapax legomena with no discriminatory power); max_df of 0.90 (removes near-universal terms that survived stop-word removal). Students need not replicate this exactly, but each choice should be defended with a clear rationale. Credit proportional to the quality of the justification, not the specific configuration chosen.</w:t>
      </w:r>
    </w:p>
    <w:p>
      <w:pPr>
        <w:spacing w:before="160" w:after="40"/>
      </w:pPr>
      <w:r>
        <w:rPr>
          <w:rFonts w:ascii="Calibri" w:hAnsi="Calibri"/>
          <w:b/>
          <w:sz w:val="22"/>
        </w:rPr>
        <w:t>Question 11. Methods paragraph (max 150 words).</w:t>
      </w:r>
    </w:p>
    <w:p>
      <w:pPr>
        <w:spacing w:before="0" w:after="120"/>
        <w:ind w:left="432"/>
      </w:pPr>
      <w:r>
        <w:rPr>
          <w:rFonts w:ascii="Calibri" w:hAnsi="Calibri"/>
          <w:i/>
          <w:sz w:val="22"/>
        </w:rPr>
        <w:t>A strong response might read as follows: 'Texts were tokenised using NLTK's word_tokenize function, which correctly handles punctuation attachment and contractions (Klimt &amp; Yang, 2004). Following tokenisation, all text was converted to lowercase and punctuation-only tokens were removed. A finance-adjusted stop-word list was applied, retaining modal verbs (will, may, could, should) and negation terms (not, no, nor) that carry analytical weight in corporate disclosure but are removed by the standard NLTK English list (Loughran &amp; McDonald, 2011; Renault, 2020). Numerical tokens were removed to eliminate firm-specific magnitude variance. Words were normalised to their canonical dictionary form using WordNet lemmatisation; Porter stemming was rejected because its outputs do not match entries in the Loughran-McDonald lexicon. Tokens appearing in fewer than two documents were pruned.' Students should match this structure: each decision named, each justified by reference to the literature or to a specific property of the corpus. Penalise answers that list decisions without justification.</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