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00000"/>
          <w:sz w:val="46"/>
        </w:rPr>
        <w:t>阶段 A 开发结果</w:t>
      </w:r>
    </w:p>
    <w:p>
      <w:pPr>
        <w:spacing w:after="320"/>
      </w:pPr>
      <w:r>
        <w:rPr>
          <w:rFonts w:ascii="Calibri" w:hAnsi="Calibri" w:eastAsia="Microsoft YaHei"/>
          <w:b w:val="0"/>
          <w:color w:val="373737"/>
          <w:sz w:val="28"/>
        </w:rPr>
        <w:t>统一 Schema + Codex Adapter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交付状态：</w:t>
      </w:r>
      <w:r>
        <w:rPr>
          <w:rFonts w:ascii="Calibri" w:hAnsi="Calibri" w:eastAsia="Microsoft YaHei"/>
          <w:b w:val="0"/>
          <w:color w:val="000000"/>
          <w:sz w:val="22"/>
        </w:rPr>
        <w:t>已完成，可进入提交与评审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结果版本：</w:t>
      </w:r>
      <w:r>
        <w:rPr>
          <w:rFonts w:ascii="Calibri" w:hAnsi="Calibri" w:eastAsia="Microsoft YaHei"/>
          <w:b w:val="0"/>
          <w:color w:val="000000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完成日期：</w:t>
      </w:r>
      <w:r>
        <w:rPr>
          <w:rFonts w:ascii="Calibri" w:hAnsi="Calibri" w:eastAsia="Microsoft YaHei"/>
          <w:b w:val="0"/>
          <w:color w:val="000000"/>
          <w:sz w:val="22"/>
        </w:rPr>
        <w:t>2026-08-18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规格问题单：</w:t>
      </w:r>
      <w:r>
        <w:rPr>
          <w:rFonts w:ascii="Calibri" w:hAnsi="Calibri" w:eastAsia="Microsoft YaHei"/>
          <w:b w:val="0"/>
          <w:color w:val="000000"/>
          <w:sz w:val="22"/>
        </w:rPr>
        <w:t>GitHub Issue #2：阶段 A：统一观测协议与 Codex 适配器</w:t>
      </w:r>
    </w:p>
    <w:p>
      <w:pPr>
        <w:spacing w:before="240" w:after="200" w:line="264" w:lineRule="auto"/>
        <w:ind w:left="230" w:right="173"/>
        <w:shd w:fill="EAF4EA"/>
        <w:pBdr>
          <w:left w:val="single" w:sz="18" w:space="8" w:color="256029"/>
        </w:pBdr>
      </w:pPr>
      <w:r>
        <w:rPr>
          <w:rFonts w:ascii="Calibri" w:hAnsi="Calibri" w:eastAsia="Microsoft YaHei"/>
          <w:b/>
          <w:color w:val="256029"/>
          <w:sz w:val="22"/>
        </w:rPr>
        <w:t xml:space="preserve">交付结论  </w:t>
      </w:r>
      <w:r>
        <w:rPr>
          <w:rFonts w:ascii="Calibri" w:hAnsi="Calibri" w:eastAsia="Microsoft YaHei"/>
          <w:b w:val="0"/>
          <w:color w:val="202124"/>
          <w:sz w:val="22"/>
        </w:rPr>
        <w:t>统一观测协议、可执行校验和 Codex 会话适配入口已经落地；原有解析与时间线接口保持兼容。完整构建成功，统一测试入口共 112 项测试通过。</w:t>
      </w:r>
    </w:p>
    <w:p>
      <w:pPr>
        <w:pStyle w:val="Heading1"/>
      </w:pPr>
      <w:r>
        <w:t>1. 交付范围</w:t>
      </w:r>
    </w:p>
    <w:p>
      <w:r>
        <w:rPr>
          <w:rFonts w:ascii="Calibri" w:hAnsi="Calibri" w:eastAsia="Microsoft YaHei"/>
          <w:b w:val="0"/>
          <w:color w:val="202124"/>
          <w:sz w:val="22"/>
        </w:rPr>
        <w:t>本次交付以“统一 Schema + Codex Adapter”为一个完整阶段成果处理。实现依据包括统一观测协议设计、开发验证与验收计划、真实字段映射记录，以及本地 Codex 会话和 NatureBench-traces 公开样本的结构对照。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统一协议：定义 Session、Turn、Event、RawRef、Usage、CapabilityManifest 和 AdapterDiagnostics。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Codex 适配：提供单一公开入口 adaptCodexSession(sessionFile, options?)，输出 ObservationSession。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兼容处理：保留现有 Codex 解析、历史读取和时间线接口，不要求现有调用方立即迁移。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验证材料：增加脱敏最小样本、协议测试、适配器合约测试和真实会话冒烟验证。</w:t>
      </w:r>
    </w:p>
    <w:p>
      <w:r>
        <w:br w:type="page"/>
      </w:r>
    </w:p>
    <w:p>
      <w:pPr>
        <w:pStyle w:val="Heading1"/>
      </w:pPr>
      <w:r>
        <w:t>2. 已完成内容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交付项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结果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统一 Schema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TypeScript 类型、Draft 2020-12 JSON Schema、运行时校验与校验错误路径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Codex Adapter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统一会话、规范化 Turn、统一 Event、Usage、能力清单和诊断输出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来源标记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事件级 provenance / fidelity，并对派生字段保留 fieldProvenance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异常诊断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坏行、未知来源事件、信息损失和不支持字段均有独立计数与 RawRef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完成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兼容与构建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原接口保持可用；根构建与统一测试入口已经纳入新协议包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完成</w:t>
            </w:r>
          </w:p>
        </w:tc>
      </w:tr>
    </w:tbl>
    <w:p>
      <w:pPr>
        <w:spacing w:after="40"/>
      </w:pPr>
    </w:p>
    <w:p>
      <w:pPr>
        <w:pStyle w:val="Heading1"/>
      </w:pPr>
      <w:r>
        <w:t>3. 统一 Schema 结果</w:t>
      </w:r>
    </w:p>
    <w:p>
      <w:r>
        <w:rPr>
          <w:rFonts w:ascii="Calibri" w:hAnsi="Calibri" w:eastAsia="Microsoft YaHei"/>
          <w:b w:val="0"/>
          <w:color w:val="202124"/>
          <w:sz w:val="22"/>
        </w:rPr>
        <w:t>协议版本暂定为 1.0-draft，明确表示当前仍处于可演进阶段。统一对象关系如下：</w:t>
      </w:r>
    </w:p>
    <w:p>
      <w:pPr>
        <w:spacing w:before="80" w:after="200"/>
        <w:ind w:left="360"/>
      </w:pPr>
      <w:r>
        <w:rPr>
          <w:rFonts w:ascii="Consolas" w:hAnsi="Consolas" w:eastAsia="Microsoft YaHei"/>
          <w:b w:val="0"/>
          <w:color w:val="1F4D78"/>
          <w:sz w:val="20"/>
        </w:rPr>
        <w:t>ObservationSession</w:t>
        <w:br/>
        <w:t xml:space="preserve">  ├─ Session</w:t>
        <w:br/>
        <w:t xml:space="preserve">  ├─ Turn[]</w:t>
        <w:br/>
        <w:t xml:space="preserve">  │   ├─ Usage</w:t>
        <w:br/>
        <w:t xml:space="preserve">  │   └─ Event[]</w:t>
        <w:br/>
        <w:t xml:space="preserve">  ├─ CapabilityManifest</w:t>
        <w:br/>
        <w:t xml:space="preserve">  └─ AdapterDiagnostics</w:t>
      </w:r>
    </w:p>
    <w:p>
      <w:pPr>
        <w:pStyle w:val="Heading2"/>
      </w:pPr>
      <w:r>
        <w:t>3.1 来源与可用性约定</w:t>
      </w:r>
    </w:p>
    <w:p>
      <w:r>
        <w:rPr>
          <w:rFonts w:ascii="Calibri" w:hAnsi="Calibri" w:eastAsia="Microsoft YaHei"/>
          <w:b w:val="0"/>
          <w:color w:val="202124"/>
          <w:sz w:val="22"/>
        </w:rPr>
        <w:t>字段来源不是采样阶段的临时备注，而是协议输出的一部分。当前实现采用两层表达：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Event.provenance 标记事件主体来自直接记录、推导或补采集；Event.fieldProvenance 只记录与事件主体不同的关键字段来源。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unavailable 不写入不存在的字段，而是在 CapabilityManifest 中记录当前会话无法可靠获得的能力。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fidelity 区分 full 和 partial，避免把摘要、补丁片段等不完整信息表示为无损记录。</w:t>
      </w:r>
    </w:p>
    <w:p>
      <w:pPr>
        <w:pStyle w:val="Heading2"/>
      </w:pPr>
      <w:r>
        <w:t>3.2 Turn 统一规则</w:t>
      </w:r>
    </w:p>
    <w:p>
      <w:r>
        <w:rPr>
          <w:rFonts w:ascii="Calibri" w:hAnsi="Calibri" w:eastAsia="Microsoft YaHei"/>
          <w:b w:val="0"/>
          <w:color w:val="202124"/>
          <w:sz w:val="22"/>
        </w:rPr>
        <w:t>规范化 Turn 以用户输入边界生成，使用 turn-0001、turn-0002 等工作台标识。Codex 原生 turn_id 只保存在 sourceRef 中，不直接替代统一 turnId。这样可以避免不同 Agent 的原生标识语义不一致，也能防止上一轮 cwd 或模型信息误带入下一轮。</w:t>
      </w:r>
    </w:p>
    <w:p>
      <w:pPr>
        <w:pStyle w:val="Heading1"/>
      </w:pPr>
      <w:r>
        <w:t>4. Codex Adapter 映射结果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session_meta  →  </w:t>
      </w:r>
      <w:r>
        <w:rPr>
          <w:rFonts w:ascii="Calibri" w:hAnsi="Calibri" w:eastAsia="Microsoft YaHei"/>
          <w:b w:val="0"/>
          <w:color w:val="202124"/>
          <w:sz w:val="21"/>
        </w:rPr>
        <w:t>Session 元数据与会话 RawRef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turn_context  →  </w:t>
      </w:r>
      <w:r>
        <w:rPr>
          <w:rFonts w:ascii="Calibri" w:hAnsi="Calibri" w:eastAsia="Microsoft YaHei"/>
          <w:b w:val="0"/>
          <w:color w:val="202124"/>
          <w:sz w:val="21"/>
        </w:rPr>
        <w:t>Turn 来源引用、cwd、model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user / assistant message  →  </w:t>
      </w:r>
      <w:r>
        <w:rPr>
          <w:rFonts w:ascii="Calibri" w:hAnsi="Calibri" w:eastAsia="Microsoft YaHei"/>
          <w:b w:val="0"/>
          <w:color w:val="202124"/>
          <w:sz w:val="21"/>
        </w:rPr>
        <w:t>message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developer / system message  →  </w:t>
      </w:r>
      <w:r>
        <w:rPr>
          <w:rFonts w:ascii="Calibri" w:hAnsi="Calibri" w:eastAsia="Microsoft YaHei"/>
          <w:b w:val="0"/>
          <w:color w:val="202124"/>
          <w:sz w:val="21"/>
        </w:rPr>
        <w:t>lifecycle.context_instruction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reasoning / agent_reasoning  →  </w:t>
      </w:r>
      <w:r>
        <w:rPr>
          <w:rFonts w:ascii="Calibri" w:hAnsi="Calibri" w:eastAsia="Microsoft YaHei"/>
          <w:b w:val="0"/>
          <w:color w:val="202124"/>
          <w:sz w:val="21"/>
        </w:rPr>
        <w:t>reasoning_summary，按 partial 处理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function/custom tool call  →  </w:t>
      </w:r>
      <w:r>
        <w:rPr>
          <w:rFonts w:ascii="Calibri" w:hAnsi="Calibri" w:eastAsia="Microsoft YaHei"/>
          <w:b w:val="0"/>
          <w:color w:val="202124"/>
          <w:sz w:val="21"/>
        </w:rPr>
        <w:t>tool_call，并按 call_id 与结果关联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function/custom tool output  →  </w:t>
      </w:r>
      <w:r>
        <w:rPr>
          <w:rFonts w:ascii="Calibri" w:hAnsi="Calibri" w:eastAsia="Microsoft YaHei"/>
          <w:b w:val="0"/>
          <w:color w:val="202124"/>
          <w:sz w:val="21"/>
        </w:rPr>
        <w:t>tool_result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token_count  →  </w:t>
      </w:r>
      <w:r>
        <w:rPr>
          <w:rFonts w:ascii="Calibri" w:hAnsi="Calibri" w:eastAsia="Microsoft YaHei"/>
          <w:b w:val="0"/>
          <w:color w:val="202124"/>
          <w:sz w:val="21"/>
        </w:rPr>
        <w:t>lifecycle.usage 与 Turn.usage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task_started / complete / aborted  →  </w:t>
      </w:r>
      <w:r>
        <w:rPr>
          <w:rFonts w:ascii="Calibri" w:hAnsi="Calibri" w:eastAsia="Microsoft YaHei"/>
          <w:b w:val="0"/>
          <w:color w:val="202124"/>
          <w:sz w:val="21"/>
        </w:rPr>
        <w:t>Turn 生命周期与状态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patch_apply_end  →  </w:t>
      </w:r>
      <w:r>
        <w:rPr>
          <w:rFonts w:ascii="Calibri" w:hAnsi="Calibri" w:eastAsia="Microsoft YaHei"/>
          <w:b w:val="0"/>
          <w:color w:val="202124"/>
          <w:sz w:val="21"/>
        </w:rPr>
        <w:t>file_change，按 partial 处理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web_search_end / mcp_tool_call_end  →  </w:t>
      </w:r>
      <w:r>
        <w:rPr>
          <w:rFonts w:ascii="Calibri" w:hAnsi="Calibri" w:eastAsia="Microsoft YaHei"/>
          <w:b w:val="0"/>
          <w:color w:val="202124"/>
          <w:sz w:val="21"/>
        </w:rPr>
        <w:t>search 或 mcp 类别的 tool_result</w:t>
      </w:r>
    </w:p>
    <w:p>
      <w:pPr>
        <w:spacing w:after="100"/>
        <w:ind w:left="259"/>
      </w:pPr>
      <w:r>
        <w:rPr>
          <w:rFonts w:ascii="Consolas" w:hAnsi="Consolas" w:eastAsia="Microsoft YaHei"/>
          <w:b/>
          <w:color w:val="1F4D78"/>
          <w:sz w:val="21"/>
        </w:rPr>
        <w:t xml:space="preserve">context_compacted / compacted  →  </w:t>
      </w:r>
      <w:r>
        <w:rPr>
          <w:rFonts w:ascii="Calibri" w:hAnsi="Calibri" w:eastAsia="Microsoft YaHei"/>
          <w:b w:val="0"/>
          <w:color w:val="202124"/>
          <w:sz w:val="21"/>
        </w:rPr>
        <w:t>lifecycle.context_compacted</w:t>
      </w:r>
    </w:p>
    <w:p>
      <w:pPr>
        <w:spacing w:before="240" w:after="200" w:line="264" w:lineRule="auto"/>
        <w:ind w:left="230" w:right="173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 xml:space="preserve">未知事件处理  </w:t>
      </w:r>
      <w:r>
        <w:rPr>
          <w:rFonts w:ascii="Calibri" w:hAnsi="Calibri" w:eastAsia="Microsoft YaHei"/>
          <w:b w:val="0"/>
          <w:color w:val="202124"/>
          <w:sz w:val="22"/>
        </w:rPr>
        <w:t>当前未建立公共语义的 world_state 等记录不会被静默丢弃，而是以 RawRef 和原因写入 AdapterDiagnostics。无效 JSONL 行单独计入 parseErrorCount。</w:t>
      </w:r>
    </w:p>
    <w:p>
      <w:pPr>
        <w:pStyle w:val="Heading1"/>
      </w:pPr>
      <w:r>
        <w:t>5. 数据安全与保真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工具参数、输出和上下文文本在进入统一事件前继续使用现有凭据脱敏逻辑。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大段工具输出按长度限制收缩，保留截断标记，避免把原始日志无限复制到统一对象。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推理仅保存公开日志中已有的 reasoning summary，不采集或推断私有思维链。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RawRef 保存来源文件、行号、原始事件类型和可用的原生标识，用于回到原始证据。</w:t>
      </w:r>
    </w:p>
    <w:p>
      <w:r>
        <w:br w:type="page"/>
      </w:r>
    </w:p>
    <w:p>
      <w:pPr>
        <w:pStyle w:val="Heading1"/>
      </w:pPr>
      <w:r>
        <w:t>6. 验证结果</w:t>
      </w:r>
    </w:p>
    <w:p>
      <w:r>
        <w:rPr>
          <w:rFonts w:ascii="Calibri" w:hAnsi="Calibri" w:eastAsia="Microsoft YaHei"/>
          <w:b w:val="0"/>
          <w:color w:val="202124"/>
          <w:sz w:val="22"/>
        </w:rPr>
        <w:t>在 Electron 占用解除并恢复完整依赖后，重新执行正式构建和统一测试入口。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验证范围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结果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pnpm build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通过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协议、时间线、Codex Adapter 与桌面端生产构建均成功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Security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13 / 13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凭据识别与脱敏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Observation Schema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 / 1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错误路径与最小合约校验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Timeline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10 / 10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事件归一化、隔离与结果审查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Codex Adapter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22 / 22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新合约、现代事件及旧接口回归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Project Observation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3 / 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统一观测对象的项目环境与差异使用路径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Desktop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63 / 63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桌面服务、历史读取、界面契约与端到端路径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合计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112 / 112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0 失败</w:t>
            </w:r>
          </w:p>
        </w:tc>
      </w:tr>
    </w:tbl>
    <w:p>
      <w:pPr>
        <w:spacing w:after="40"/>
      </w:pPr>
    </w:p>
    <w:p>
      <w:pPr>
        <w:pStyle w:val="Heading2"/>
      </w:pPr>
      <w:r>
        <w:t>6.1 真实会话验证</w:t>
      </w:r>
    </w:p>
    <w:p>
      <w:r>
        <w:rPr>
          <w:rFonts w:ascii="Calibri" w:hAnsi="Calibri" w:eastAsia="Microsoft YaHei"/>
          <w:b w:val="0"/>
          <w:color w:val="202124"/>
          <w:sz w:val="22"/>
        </w:rPr>
        <w:t>使用本地近期 Codex rollout 会话执行适配器冒烟验证，统一对象通过运行时校验，未出现 JSONL 解析错误。当前仍未建立公共语义的 world_state 被完整计入未知事件诊断，符合“不静默丢弃”的要求。</w:t>
      </w:r>
    </w:p>
    <w:p>
      <w:pPr>
        <w:pStyle w:val="Heading2"/>
      </w:pPr>
      <w:r>
        <w:t>6.2 构建提示</w:t>
      </w:r>
    </w:p>
    <w:p>
      <w:r>
        <w:rPr>
          <w:rFonts w:ascii="Calibri" w:hAnsi="Calibri" w:eastAsia="Microsoft YaHei"/>
          <w:b w:val="0"/>
          <w:color w:val="202124"/>
          <w:sz w:val="22"/>
        </w:rPr>
        <w:t>桌面端构建仍会报告 Monaco Editor 的 CommonJS/ESM 兼容提示、动态导入未拆分提示及大分块提示。这些提示不影响本次构建和测试结果，也不是本次 Schema 与 Adapter 变更引入的阻断问题。</w:t>
      </w:r>
    </w:p>
    <w:p>
      <w:pPr>
        <w:pStyle w:val="Heading1"/>
      </w:pPr>
      <w:r>
        <w:t>7. 验收对照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统一协议有独立包、正式 JSON Schema 和可执行校验。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adaptCodexSession 是统一且可直接测试的主入口。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规范化 Turn 不直接复用 Codex 原生 turn_id。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核心消息、工具、用量、补丁、搜索、MCP 和生命周期记录均完成映射。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direct、derived、supplemented 与 unavailable 已按事件、字段和能力层次表达。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未知记录和坏行均进入诊断，原始引用可追溯。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脱敏 fixture 与真实本地会话均完成验证。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旧 Codex 解析、历史读取、时间线和桌面端回归测试全部通过。</w:t>
      </w:r>
    </w:p>
    <w:p>
      <w:pPr>
        <w:pStyle w:val="Heading1"/>
      </w:pPr>
      <w:r>
        <w:t>8. 当前边界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Schema 仍是 1.0-draft，后续应在 Claude Code 真实样本可获得后继续验证，再决定是否稳定为 v1。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本次没有实现 Claude Code 或 Gemini CLI Adapter，也没有把某一家日志字段固化为公共协议唯一来源。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world_state 暂时只保留诊断引用；在语义确认前不推测映射。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Git 元数据、完整 TurnDiff、项目环境和评审对象不属于本次 Codex Adapter 内部职责。</w:t>
      </w:r>
    </w:p>
    <w:p>
      <w:pPr>
        <w:pStyle w:val="Heading1"/>
      </w:pPr>
      <w:r>
        <w:t>9. 交付物位置</w:t>
      </w:r>
    </w:p>
    <w:p>
      <w:r>
        <w:rPr>
          <w:rFonts w:ascii="Calibri" w:hAnsi="Calibri" w:eastAsia="Microsoft YaHei"/>
          <w:b w:val="0"/>
          <w:color w:val="202124"/>
          <w:sz w:val="22"/>
        </w:rPr>
        <w:t>主要实现位于 packages/observation-schema 和 packages/codex-adapter；构建与测试接入位于根 package.json、pnpm-lock.yaml 和 scripts/test-agent-workbench.mjs。测试样本均为脱敏最小样本，不包含本地真实会话内容。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当前代码尚未提交，文档记录的是工作区内已经构建并验证通过的实现状态。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color w:val="5F6368"/>
        <w:sz w:val="18"/>
      </w:rPr>
      <w:t xml:space="preserve">内部开发记录  |  </w:t>
    </w:r>
    <w:r>
      <w:rPr>
        <w:rFonts w:ascii="Calibri" w:hAnsi="Calibri" w:eastAsia="Microsoft YaHei"/>
        <w:b w:val="0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color w:val="5F6368"/>
        <w:sz w:val="18"/>
      </w:rPr>
      <w:t>Agent Workbench  |  阶段 A 开发结果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 A 开发结果：统一 Schema + Codex Adapter</dc:title>
  <dc:subject>Agent Workbench 阶段 A 开发交付与验证记录</dc:subject>
  <dc:creator>Agent Workbench</dc:creator>
  <cp:keywords>Schema, Codex Adapter, ObservationSession, Phase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