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Agent 工程观察与优化工作台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63238"/>
          <w:sz w:val="40"/>
        </w:rPr>
        <w:t>评估、训练数据与模型治理详细设计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 w:val="0"/>
          <w:color w:val="5F6B73"/>
          <w:sz w:val="23"/>
        </w:rPr>
        <w:t>Evaluation 域：从人工确认到可训练数据，再到可验证效果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2F75B5"/>
          <w:sz w:val="26"/>
        </w:rPr>
        <w:t>v1.0</w:t>
      </w:r>
    </w:p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5F6B73"/>
          <w:sz w:val="21"/>
        </w:rPr>
        <w:t>设计基线：2026-08-17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8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文档状态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设计基线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适用范围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工程观察与优化工作台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设计负责人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产品/架构设计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设计日期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2026-08-17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更新原则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已确定设计默认稳定；标记为待验证/待测试的内容在实现反馈后修订。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状态标记约定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绿色=已经讨论并确定；黄色=需要真实 Agent 数据或运行数据确认；红色=需要工程测试/验收；紫色=借鉴成熟方案但不等同于直接集成；灰色=明确暂不进入当前版本。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1. 核心原则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工作台的长期模型资产来自真实开发过程：模型判断、人工纠正和后续真实效果必须分开保存。训练数据不是运行时源数据，而是从不可变事实链重新构建的派生数据集。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两种“正确”分开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HumanAnnotation 决定“这个审查判断是否正确”；Outcome 决定“这个优化方案是否在真实工程中有效”。两者不能混为一个评分。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2. 样本成熟度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CandidateSample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ValidatedSample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→ OutcomeBackedSample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1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形成条件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CandidateSample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有 ReviewInput + ModelJudgement + Evidence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历史记录/待标注，不直接训练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ValidatedSample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人工确认/纠正完成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Review Model 训练与评估主数据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OutcomeBackedSample</w:t>
            </w:r>
          </w:p>
        </w:tc>
        <w:tc>
          <w:tcPr>
            <w:tcW w:type="dxa" w:w="41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人工确认 + 优化方案 + adoption + 真实 Outcome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Optimization Model 高价值训练数据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3. Review Model 训练标签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676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true_positive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模型发现且用户确认的问题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false_positive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模型认为有问题，但用户明确判断为正常/不成立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false_negative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模型没发现，用户主动补充的问题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corrected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问题方向存在但类别/根因/证据/描述需要人工修正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负样本和漏检样本同样重要；否则模型会只学会“多报问题”，不会学会何时保持克制。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4. Optimization Model 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confirmed issue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+ OptimizationProposal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+ ProposalDecision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+ ManagedArtifactVersion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+ ArtifactUsage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+ Outcome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= optimization training record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优化模型应学习“什么问题适合什么产物、何时 no_action、哪些方案人类拒绝、哪些方案虽然被接受但真实效果差”。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5. DatasetBuilder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运行数据库不直接写 TrainingSample。DatasetBuilder 按指定版本和质量条件从 Review/Annotation/Outcome 事实链构建训练集。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DatasetBuildConfig 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dataset_version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task_type: review | optimization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schema_version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policy_version?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include_labels[]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min_evidence_quality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require_human_confirmation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require_outcome?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time_range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project_scope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anonymization_policy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Evals 与 Dataset Versioning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借鉴 OpenAI Evals 的“固定数据 schema + 可重复运行不同模型”的思想，以及 Argilla 的 record/response 数据组织方式；实际训练集由工作台自己导出。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6. 样本质量事实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第一版不要发明一个不可解释的 0-100 “quality score”。保存可验证事实即可：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human_confirmed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evidence_complete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raw_available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outcome_available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multiple_occurrences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reviewability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source_schema_version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annotation_count</w:t>
            </w:r>
          </w:p>
        </w:tc>
      </w:tr>
    </w:tbl>
    <w:p>
      <w:pPr>
        <w:spacing w:after="4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训练时根据用途选择门槛，例如 Review Model 只要求 human_confirmed + evidence_complete；Optimization Model 可优先 outcome_available。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7. 新模型重审旧案例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10166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>ReviewCase #123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├─ ReviewRun(Model A, 2026) → Judgement → Annotation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7474F"/>
                <w:sz w:val="18"/>
              </w:rPr>
              <w:t xml:space="preserve">  └─ ReviewRun(Model B, 2027) → Judgement → Annotation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Re-review, not auto-re-optimize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更强模型可以重审历史高价值 Case，发现遗漏问题后仍需要人工确认，确认后才进入新的 OptimizationCase。不能因为模型升级就自动改写历史经验。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8. 模型治理元数据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元数据</w:t>
            </w:r>
          </w:p>
        </w:tc>
        <w:tc>
          <w:tcPr>
            <w:tcW w:type="dxa" w:w="66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为什么必须保存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model/model_version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区分能力变化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prompt_version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区分提示策略变化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review_policy_version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区分审查标准变化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evidence_schema_version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区分输入事实结构变化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adapter/schema version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解释底层数据变化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dataset_version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保证评估可复现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9. Review 模型评估指标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Issue precision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模型报告的问题有多少被人工确认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Issue recall proxy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在人工补充/高质量 gold case 中漏了多少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Partial correction rate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方向正确但根因/证据/类别需要修正的比例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Evidence validity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Evidence 是否真正支持判断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Duplicate rate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相同问题重复报告比例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Useful issue rate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被确认且值得继续优化的比例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Cost per confirmed useful issue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成本效率核心指标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10. Optimization 模型评估指标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0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04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Proposal acceptance rate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人类批准比例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No-action precision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模型选择不沉淀是否合理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 adoption rate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Agent 后续真正采用比例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Outcome improvement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真实任务的时间/Token/失败率/复发趋势是否改善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Artifact survival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一段时间后仍 active 的比例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263238"/>
                <w:sz w:val="18"/>
              </w:rPr>
              <w:t>Revision/deprecation rate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识别经验质量和过度生成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11. A/B 实验的地位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A/B 只用于高价值 Skill/Script 候选的隔离验证，不作为日常所有优化的默认门槛。单次 A/B 是 smoke test，不是统计证明；长期真实任务趋势才是最终效果证据。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12. 训练时机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2F0D9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[已确定设计] 先积累数据再训练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初期使用强通用模型执行 Review/Optimization，优先形成高质量人工标注链。数据不足时训练专用模型容易把早期偏差固化。</w:t>
            </w:r>
          </w:p>
        </w:tc>
      </w:tr>
    </w:tbl>
    <w:p>
      <w:pPr>
        <w:spacing w:after="20"/>
      </w:pP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建议只有在某类问题积累到足够数量、标签一致性可接受、评估集能够覆盖常见误报/漏检后，再尝试便宜的 screening/review 专用模型。具体样本量不在产品文档拍固定阈值，由实际学习曲线决定。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13. Active Learning 的后置位置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未来可以让模型优先挑选最不确定、模型分歧大、与现有样本差异大的 Case 给人标注。但 v1 不实现主动学习。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E4DFEC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[成熟方案借鉴] Argilla Suggestions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后期可借鉴 annotation UI 中“模型建议 + 人工响应”的体验，以及基于 metadata/filter 管理数据集；不需要把主产品变成通用标注平台。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14. 数据泄漏与切分</w:t>
      </w:r>
    </w:p>
    <w:p>
      <w:pPr>
        <w:spacing w:after="100" w:line="288" w:lineRule="auto"/>
      </w:pPr>
      <w:r>
        <w:rPr>
          <w:rFonts w:ascii="Noto Sans CJK SC" w:hAnsi="Noto Sans CJK SC" w:eastAsia="Noto Sans CJK SC"/>
          <w:b w:val="0"/>
          <w:color w:val="263238"/>
          <w:sz w:val="22"/>
        </w:rPr>
        <w:t>训练/评估切分应以 Project、时间或问题簇为单位避免相近 Turn 泄漏到 train/test 两侧。特别是同一个 recurring issue 的多次 occurrence，不能随机拆散后制造虚高成绩。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21"/>
      </w:tblGrid>
      <w:tr>
        <w:trPr>
          <w:cantSplit/>
        </w:trPr>
        <w:tc>
          <w:tcPr>
            <w:tcW w:type="dxa" w:w="1016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[待测试] 评估基准稳定性</w:t>
            </w:r>
          </w:p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需要建立固定 holdout ReviewCase，升级模型/Prompt/Policy 时重复运行，分别报告总体、类别、项目与时间维度。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15. 待数据收集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每类 Judgement 的人工确认/拒绝数量。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人工修正中最常见的错误类型。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Artifact adopted/executed 的可观测可靠性。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Outcome 需要多少真实任务才形成稳定趋势。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不同模型/Prompt 的成本与 useful issue rate 曲线。</w:t>
      </w:r>
    </w:p>
    <w:p>
      <w:pPr>
        <w:pStyle w:val="Heading1"/>
        <w:keepNext/>
        <w:spacing w:before="220" w:after="100"/>
      </w:pPr>
      <w:r>
        <w:rPr>
          <w:rFonts w:ascii="Noto Sans CJK SC" w:hAnsi="Noto Sans CJK SC" w:eastAsia="Noto Sans CJK SC"/>
          <w:b/>
          <w:color w:val="1F4E79"/>
          <w:sz w:val="34"/>
        </w:rPr>
        <w:t>附录：成熟方案与官方参考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OpenAI Evals：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https://platform.openai.com/docs/api-reference/evals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用于可重复评估运行与数据源 schema 的成熟模式参考。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OpenAI API backward compatibility guidance：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https://platform.openai.com/docs/api-reference/backward-compatibility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借鉴 pinned model version + evals 的治理原则。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Argilla Datasets/Records：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https://docs.argilla.io/dev/how_to_guides/dataset/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借鉴记录、字段、问题、模型建议与人工响应的数据模型。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263238"/>
          <w:sz w:val="20"/>
        </w:rPr>
        <w:t>Label Studio Agreement：</w:t>
      </w:r>
      <w:r>
        <w:rPr>
          <w:rFonts w:ascii="Noto Sans CJK SC" w:hAnsi="Noto Sans CJK SC" w:eastAsia="Noto Sans CJK SC"/>
          <w:b w:val="0"/>
          <w:color w:val="2F75B5"/>
          <w:sz w:val="19"/>
        </w:rPr>
        <w:t>https://docs.humansignal.com/guide/stats.html</w:t>
      </w:r>
    </w:p>
    <w:p>
      <w:pPr>
        <w:spacing w:after="100"/>
        <w:ind w:left="259"/>
      </w:pPr>
      <w:r>
        <w:rPr>
          <w:rFonts w:ascii="Noto Sans CJK SC" w:hAnsi="Noto Sans CJK SC" w:eastAsia="Noto Sans CJK SC"/>
          <w:b w:val="0"/>
          <w:color w:val="5F6B73"/>
          <w:sz w:val="19"/>
        </w:rPr>
        <w:t>团队阶段多人标注时可借鉴一致性指标。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3"/>
        <w:sz w:val="16"/>
      </w:rPr>
      <w:t xml:space="preserve">评估、训练数据与模型治理详细设计 · v1.0   |   </w:t>
    </w:r>
    <w:r>
      <w:rPr>
        <w:rFonts w:ascii="Noto Sans CJK SC" w:hAnsi="Noto Sans CJK SC" w:eastAsia="Noto Sans CJK SC"/>
        <w:b w:val="0"/>
        <w:color w:val="5F6B7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