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Calibri" w:hAnsi="Calibri" w:eastAsia="Microsoft YaHei"/>
          <w:b/>
          <w:color w:val="000000"/>
          <w:sz w:val="46"/>
        </w:rPr>
        <w:t>阶段 A 修复结果</w:t>
      </w:r>
    </w:p>
    <w:p>
      <w:pPr>
        <w:spacing w:after="320"/>
      </w:pPr>
      <w:r>
        <w:rPr>
          <w:rFonts w:ascii="Calibri" w:hAnsi="Calibri" w:eastAsia="Microsoft YaHei"/>
          <w:b w:val="0"/>
          <w:color w:val="373737"/>
          <w:sz w:val="28"/>
        </w:rPr>
        <w:t>统一 Schema + Codex Adapter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修复状态：</w:t>
      </w:r>
      <w:r>
        <w:rPr>
          <w:rFonts w:ascii="Calibri" w:hAnsi="Calibri" w:eastAsia="Microsoft YaHei"/>
          <w:b w:val="0"/>
          <w:color w:val="000000"/>
          <w:sz w:val="22"/>
        </w:rPr>
        <w:t>已完成，回归验证通过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结果版本：</w:t>
      </w:r>
      <w:r>
        <w:rPr>
          <w:rFonts w:ascii="Calibri" w:hAnsi="Calibri" w:eastAsia="Microsoft YaHei"/>
          <w:b w:val="0"/>
          <w:color w:val="000000"/>
          <w:sz w:val="22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完成日期：</w:t>
      </w:r>
      <w:r>
        <w:rPr>
          <w:rFonts w:ascii="Calibri" w:hAnsi="Calibri" w:eastAsia="Microsoft YaHei"/>
          <w:b w:val="0"/>
          <w:color w:val="000000"/>
          <w:sz w:val="22"/>
        </w:rPr>
        <w:t>2026-08-18</w:t>
      </w:r>
    </w:p>
    <w:p>
      <w:pPr>
        <w:spacing w:after="40"/>
      </w:pPr>
      <w:r>
        <w:rPr>
          <w:rFonts w:ascii="Calibri" w:hAnsi="Calibri" w:eastAsia="Microsoft YaHei"/>
          <w:b/>
          <w:color w:val="000000"/>
          <w:sz w:val="22"/>
        </w:rPr>
        <w:t>开发分支：</w:t>
      </w:r>
      <w:r>
        <w:rPr>
          <w:rFonts w:ascii="Calibri" w:hAnsi="Calibri" w:eastAsia="Microsoft YaHei"/>
          <w:b w:val="0"/>
          <w:color w:val="000000"/>
          <w:sz w:val="22"/>
        </w:rPr>
        <w:t>codex/phase-a-project-observation</w:t>
      </w:r>
    </w:p>
    <w:p>
      <w:pPr>
        <w:spacing w:before="240" w:after="200" w:line="264" w:lineRule="auto"/>
        <w:ind w:left="230" w:right="173"/>
        <w:shd w:fill="EAF4EA"/>
        <w:pBdr>
          <w:left w:val="single" w:sz="18" w:space="8" w:color="256029"/>
        </w:pBdr>
      </w:pPr>
      <w:r>
        <w:rPr>
          <w:rFonts w:ascii="Calibri" w:hAnsi="Calibri" w:eastAsia="Microsoft YaHei"/>
          <w:b/>
          <w:color w:val="256029"/>
          <w:sz w:val="22"/>
        </w:rPr>
        <w:t xml:space="preserve">修复结论  </w:t>
      </w:r>
      <w:r>
        <w:rPr>
          <w:rFonts w:ascii="Calibri" w:hAnsi="Calibri" w:eastAsia="Microsoft YaHei"/>
          <w:b w:val="0"/>
          <w:color w:val="202124"/>
          <w:sz w:val="22"/>
        </w:rPr>
        <w:t>统一结构校验、轮次边界、重复输入、运行时上下文、子智能体活动和智能体间通信均已修复。公开真实样本由错误的 6 个轮次恢复为 2 个轮次；全仓 115 项测试全部通过。</w:t>
      </w:r>
    </w:p>
    <w:p>
      <w:pPr>
        <w:pStyle w:val="Heading1"/>
      </w:pPr>
      <w:r>
        <w:t>1. 修复范围</w:t>
      </w:r>
    </w:p>
    <w:p>
      <w:r>
        <w:rPr>
          <w:rFonts w:ascii="Calibri" w:hAnsi="Calibri" w:eastAsia="Microsoft YaHei"/>
          <w:b w:val="0"/>
          <w:color w:val="202124"/>
          <w:sz w:val="22"/>
        </w:rPr>
        <w:t>本次修复针对阶段 A 开发结果复核中发现的实际缺口，不调整 DiffBuilder、项目环境采集或桌面端业务逻辑。修复入口仍是统一结构包和 Codex 会话适配公开接口。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让正式 JSON Schema 成为运行时校验的唯一规则来源。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修正运行时环境上下文和重复用户记录造成的轮次误拆分。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把子智能体活动、智能体间消息及通信元数据归入当前 Turn。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按实际观察结果生成能力清单，并声明共享安全模块依赖。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增加公开真实样本、最小协作样本和非法结构反例测试。</w:t>
      </w:r>
    </w:p>
    <w:p>
      <w:pPr>
        <w:pStyle w:val="Heading1"/>
      </w:pPr>
      <w:r>
        <w:t>2. 问题、原因与处理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050"/>
        <w:gridCol w:w="3450"/>
        <w:gridCol w:w="3860"/>
      </w:tblGrid>
      <w:tr>
        <w:trPr>
          <w:tblHeader/>
        </w:trPr>
        <w:tc>
          <w:tcPr>
            <w:tcW w:type="dxa" w:w="20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问题</w:t>
            </w:r>
          </w:p>
        </w:tc>
        <w:tc>
          <w:tcPr>
            <w:tcW w:type="dxa" w:w="3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根因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修复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运行时校验失真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手写校验与正式结构文件重复维护，规则已经不一致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运行时直接读取正式结构文件，并报告完整字段路径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一次输入拆成多轮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同一输入存在两种相邻源记录，适配器按用户角色重复建轮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在同一轮内按来源组合、正文和相邻行去重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环境信息形成轮次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环境上下文在源日志中使用用户角色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识别结构化环境上下文，改记生命周期事件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子智能体活动未知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新适配入口漏掉已有解析路径中的协作事件分支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映射为当前轮次的 lifecycle/subagent 事件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智能体消息未知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未处理带发送者、接收者的 agent_message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映射为 message/inter_agent，并保存参与者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通信元数据未知</w:t>
            </w:r>
          </w:p>
        </w:tc>
        <w:tc>
          <w:tcPr>
            <w:tcW w:type="dxa" w:w="3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trigger_turn 记录与消息分开出现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优先关联下一条智能体消息，无法关联时独立保存</w:t>
            </w:r>
          </w:p>
        </w:tc>
      </w:tr>
    </w:tbl>
    <w:p>
      <w:pPr>
        <w:spacing w:after="40"/>
      </w:pPr>
    </w:p>
    <w:p>
      <w:pPr>
        <w:pStyle w:val="Heading1"/>
      </w:pPr>
      <w:r>
        <w:t>3. 关键实现结果</w:t>
      </w:r>
    </w:p>
    <w:p>
      <w:pPr>
        <w:pStyle w:val="Heading2"/>
      </w:pPr>
      <w:r>
        <w:t>3.1 统一结构与校验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validateObservationSession 不再维护第二套字段规则，而是直接执行 observation-session.schema.json。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非法智能体、非法能力值、额外字段、缺失诊断引用等数据现在会被拒绝，并返回具体路径。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Event 新增 relatedRawRefs、authorId 和 recipientId，用于保留重复来源和通信参与者。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CapabilityManifest 明确要求消息、工具、差异、用量、推理、审批、子智能体和智能体通信等标准能力项。</w:t>
      </w:r>
    </w:p>
    <w:p>
      <w:pPr>
        <w:pStyle w:val="Heading2"/>
      </w:pPr>
      <w:r>
        <w:t>3.2 轮次构建</w:t>
      </w:r>
    </w:p>
    <w:p>
      <w:r>
        <w:rPr>
          <w:rFonts w:ascii="Calibri" w:hAnsi="Calibri" w:eastAsia="Microsoft YaHei"/>
          <w:b w:val="0"/>
          <w:color w:val="202124"/>
          <w:sz w:val="22"/>
        </w:rPr>
        <w:t>轮次仍以真实用户输入为边界。结构化 environment_context 不再触发新轮次，而是在下一轮中保存为 runtime_context 生命周期事件。同一原生轮次内，response_item/message/user 与 event_msg/user_message 内容一致且相邻时只生成一个用户消息事件，第二处来源写入 relatedRawRefs。</w:t>
      </w:r>
    </w:p>
    <w:p>
      <w:pPr>
        <w:pStyle w:val="Heading2"/>
      </w:pPr>
      <w:r>
        <w:t>3.3 协作事件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3100"/>
        <w:gridCol w:w="1900"/>
        <w:gridCol w:w="4360"/>
      </w:tblGrid>
      <w:tr>
        <w:trPr>
          <w:tblHeader/>
        </w:trPr>
        <w:tc>
          <w:tcPr>
            <w:tcW w:type="dxa" w:w="3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Codex 来源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统一事件</w:t>
            </w:r>
          </w:p>
        </w:tc>
        <w:tc>
          <w:tcPr>
            <w:tcW w:type="dxa" w:w="4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保留信息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event_msg/sub_agent_activity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lifecycle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category=subagent；subtype 保存 started、interacted 等状态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response_item/agent_message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message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category=inter_agent；保存 authorId、recipientId 和正文</w:t>
            </w:r>
          </w:p>
        </w:tc>
      </w:tr>
      <w:tr>
        <w:tc>
          <w:tcPr>
            <w:tcW w:type="dxa" w:w="3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inter_agent_communication_metadata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关联引用或 lifecycle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trigger_turn 关联下一条消息；孤立记录不丢弃</w:t>
            </w:r>
          </w:p>
        </w:tc>
      </w:tr>
    </w:tbl>
    <w:p>
      <w:pPr>
        <w:spacing w:after="40"/>
      </w:pPr>
    </w:p>
    <w:p>
      <w:pPr>
        <w:pStyle w:val="Heading1"/>
      </w:pPr>
      <w:r>
        <w:t>4. 实际复现对照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验证对象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修复前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修复后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公开 Codex 样本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2 个真实输入被拆为 6 轮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2 个 Turn，每轮 1 条用户输入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重复用户来源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分别形成两个 Turn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合并为 1 个事件，保留 2 个 RawRef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近期本地 5 份会话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协作事件进入未知诊断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识别 4 条子智能体活动、6 条智能体间消息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非法结构反例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valid=true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返回 invalid，并指出非法字段路径</w:t>
            </w:r>
          </w:p>
        </w:tc>
      </w:tr>
    </w:tbl>
    <w:p>
      <w:pPr>
        <w:spacing w:after="40"/>
      </w:pPr>
    </w:p>
    <w:p>
      <w:pPr>
        <w:spacing w:before="240" w:after="200" w:line="264" w:lineRule="auto"/>
        <w:ind w:left="230" w:right="173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2"/>
        </w:rPr>
        <w:t xml:space="preserve">未知事件边界  </w:t>
      </w:r>
      <w:r>
        <w:rPr>
          <w:rFonts w:ascii="Calibri" w:hAnsi="Calibri" w:eastAsia="Microsoft YaHei"/>
          <w:b w:val="0"/>
          <w:color w:val="202124"/>
          <w:sz w:val="22"/>
        </w:rPr>
        <w:t>近期本地样本中只剩 world_state 尚未建立稳定公共语义，共 19 条。当前继续以 RawRef 和 AdapterDiagnostics 保留，不进行猜测映射。</w:t>
      </w:r>
    </w:p>
    <w:p>
      <w:pPr>
        <w:pStyle w:val="Heading1"/>
      </w:pPr>
      <w:r>
        <w:t>5. 验证结果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5DAE0"/>
          <w:left w:val="single" w:sz="4" w:space="0" w:color="D5DAE0"/>
          <w:bottom w:val="single" w:sz="4" w:space="0" w:color="D5DAE0"/>
          <w:right w:val="single" w:sz="4" w:space="0" w:color="D5DAE0"/>
          <w:insideH w:val="single" w:sz="4" w:space="0" w:color="D5DAE0"/>
          <w:insideV w:val="single" w:sz="4" w:space="0" w:color="D5DAE0"/>
        </w:tblBorders>
      </w:tblPr>
      <w:tblGrid>
        <w:gridCol w:w="2400"/>
        <w:gridCol w:w="1500"/>
        <w:gridCol w:w="5460"/>
      </w:tblGrid>
      <w:tr>
        <w:trPr>
          <w:tblHeader/>
        </w:trPr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验证范围</w:t>
            </w:r>
          </w:p>
        </w:tc>
        <w:tc>
          <w:tcPr>
            <w:tcW w:type="dxa" w:w="1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结果</w:t>
            </w:r>
          </w:p>
        </w:tc>
        <w:tc>
          <w:tcPr>
            <w:tcW w:type="dxa" w:w="54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说明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Security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13 / 13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凭据识别与脱敏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Observation Schema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2 / 2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基础错误路径与正式结构反例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Timeline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10 / 10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事件归一化与结果审查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Codex Adapter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24 / 24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原有回归、真实轮次和协作事件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Project Observation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3 / 3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差异与项目环境采集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Desktop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63 / 63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桌面服务、历史读取和界面契约</w:t>
            </w:r>
          </w:p>
        </w:tc>
      </w:tr>
      <w:tr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合计</w:t>
            </w:r>
          </w:p>
        </w:tc>
        <w:tc>
          <w:tcPr>
            <w:tcW w:type="dxa" w:w="1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115 / 115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Lines/>
              <w:spacing w:before="0" w:after="0" w:line="252" w:lineRule="auto"/>
            </w:pPr>
            <w:r>
              <w:rPr>
                <w:rFonts w:ascii="Calibri" w:hAnsi="Calibri" w:eastAsia="Microsoft YaHei"/>
                <w:b w:val="0"/>
                <w:color w:val="202124"/>
                <w:sz w:val="21"/>
              </w:rPr>
              <w:t>0 失败</w:t>
            </w:r>
          </w:p>
        </w:tc>
      </w:tr>
    </w:tbl>
    <w:p>
      <w:pPr>
        <w:spacing w:after="40"/>
      </w:pPr>
    </w:p>
    <w:p>
      <w:pPr>
        <w:pStyle w:val="Heading2"/>
      </w:pPr>
      <w:r>
        <w:t>5.1 真实会话冒烟验证</w:t>
      </w:r>
    </w:p>
    <w:p>
      <w:r>
        <w:rPr>
          <w:rFonts w:ascii="Calibri" w:hAnsi="Calibri" w:eastAsia="Microsoft YaHei"/>
          <w:b w:val="0"/>
          <w:color w:val="202124"/>
          <w:sz w:val="22"/>
        </w:rPr>
        <w:t>选取本地近期 5 份 Codex 会话，通过统一入口重新适配，共生成 65 个规范化 Turn。子智能体活动与智能体间消息均进入所属 Turn；JSONL 解析错误为 0。测试过程只输出数量和事件类型，不复制真实会话正文。</w:t>
      </w:r>
    </w:p>
    <w:p>
      <w:pPr>
        <w:pStyle w:val="Heading2"/>
      </w:pPr>
      <w:r>
        <w:t>5.2 构建提示</w:t>
      </w:r>
    </w:p>
    <w:p>
      <w:r>
        <w:rPr>
          <w:rFonts w:ascii="Calibri" w:hAnsi="Calibri" w:eastAsia="Microsoft YaHei"/>
          <w:b w:val="0"/>
          <w:color w:val="202124"/>
          <w:sz w:val="22"/>
        </w:rPr>
        <w:t>桌面端仍有 Monaco Editor 的 CommonJS/ESM 兼容提示、动态导入拆分提示和大分块提示。它们与修复前一致，不影响生产构建和测试，也不是本次变更引入的问题。</w:t>
      </w:r>
    </w:p>
    <w:p>
      <w:pPr>
        <w:pStyle w:val="Heading1"/>
      </w:pPr>
      <w:r>
        <w:t>6. 验收结论</w:t>
      </w:r>
    </w:p>
    <w:p>
      <w:r>
        <w:rPr>
          <w:rFonts w:ascii="Calibri" w:hAnsi="Calibri" w:eastAsia="Microsoft YaHei"/>
          <w:b w:val="0"/>
          <w:color w:val="202124"/>
          <w:sz w:val="22"/>
        </w:rPr>
        <w:t>轮次边界、重复来源合并、协作事件映射、能力清单和运行时结构校验均已按正式约定修复。现有解析、历史读取、时间线、项目观测和桌面端回归全部通过。</w:t>
      </w:r>
    </w:p>
    <w:p>
      <w:pPr>
        <w:pStyle w:val="Heading1"/>
      </w:pPr>
      <w:r>
        <w:t>7. 当前边界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Schema 版本继续保持 1.0-draft；稳定为 v1 前仍需完成 Claude Code 与 Gemini CLI 的合约验证。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world_state 只保留诊断和原始引用，待语义确认后再决定是否形成公共映射。</w:t>
      </w:r>
    </w:p>
    <w:p>
      <w:pPr>
        <w:spacing w:after="160" w:line="280" w:lineRule="auto"/>
        <w:numPr>
          <w:ilvl w:val="0"/>
          <w:numId w:val="10"/>
        </w:numPr>
      </w:pPr>
      <w:r>
        <w:rPr>
          <w:rFonts w:ascii="Calibri" w:hAnsi="Calibri" w:eastAsia="Microsoft YaHei"/>
          <w:b w:val="0"/>
          <w:color w:val="202124"/>
          <w:sz w:val="22"/>
        </w:rPr>
        <w:t>本次没有修改 DiffBuilder 和项目环境采集实现，仅验证其回归测试继续通过。修复代码、回归样本和本报告一并提交到 codex/phase-a-project-observation 分支。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b w:val="0"/>
        <w:color w:val="5F6368"/>
        <w:sz w:val="18"/>
      </w:rPr>
      <w:t xml:space="preserve">内部开发记录  |  </w:t>
    </w:r>
    <w:r>
      <w:rPr>
        <w:rFonts w:ascii="Calibri" w:hAnsi="Calibri" w:eastAsia="Microsoft YaHei"/>
        <w:b w:val="0"/>
        <w:color w:val="5F636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color w:val="5F6368"/>
        <w:sz w:val="18"/>
      </w:rPr>
      <w:t>Agent Workbench  |  阶段 A 修复结果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 A 修复结果：统一 Schema + Codex Adapter</dc:title>
  <dc:subject>Agent Workbench 阶段 A 问题修复与验证记录</dc:subject>
  <dc:creator>Agent Workbench</dc:creator>
  <cp:keywords>Schema, Codex Adapter, Turn, Subagent, Phase 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