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595959"/>
          <w:spacing w:val="40"/>
          <w:sz w:val="30"/>
          <w:szCs w:val="30"/>
        </w:rPr>
        <w:t xml:space="preserve">TRAX AUDIT</w:t>
      </w:r>
    </w:p>
    <w:p>
      <w:pPr>
        <w:spacing w:before="200"/>
        <w:jc w:val="center"/>
      </w:pPr>
      <w:r>
        <w:rPr>
          <w:b/>
          <w:bCs/>
          <w:color w:val="1F3864"/>
          <w:sz w:val="60"/>
          <w:szCs w:val="60"/>
        </w:rPr>
        <w:t xml:space="preserve">Recon Call Action Register</w:t>
      </w:r>
    </w:p>
    <w:p>
      <w:pPr>
        <w:spacing w:after="400" w:before="100"/>
        <w:jc w:val="center"/>
      </w:pPr>
      <w:r>
        <w:rPr>
          <w:b/>
          <w:bCs/>
          <w:color w:val="2E74B5"/>
          <w:sz w:val="36"/>
          <w:szCs w:val="36"/>
        </w:rPr>
        <w:t xml:space="preserve">Walkthrough &amp; Training Guide</w:t>
      </w:r>
    </w:p>
    <w:p>
      <w:pPr>
        <w:spacing w:before="800"/>
        <w:jc w:val="center"/>
      </w:pPr>
      <w:r>
        <w:rPr>
          <w:color w:val="595959"/>
          <w:sz w:val="22"/>
          <w:szCs w:val="22"/>
        </w:rPr>
        <w:t xml:space="preserve">Prepared for Audit Ops — LDAs, Supervisors, SMEs, and Managers</w:t>
      </w:r>
    </w:p>
    <w:p>
      <w:pPr>
        <w:spacing w:before="100"/>
        <w:jc w:val="center"/>
      </w:pPr>
      <w:r>
        <w:rPr>
          <w:i/>
          <w:iCs/>
          <w:color w:val="595959"/>
          <w:sz w:val="20"/>
          <w:szCs w:val="20"/>
        </w:rPr>
        <w:t xml:space="preserve">Covers the web report at /recon-ticket, the ticket detail view, the Overdue Action Items report, and the Recon Dashboard.</w:t>
      </w:r>
    </w:p>
    <w:p>
      <w:r>
        <w:br w:type="page"/>
      </w:r>
    </w:p>
    <w:p>
      <w:pPr>
        <w:pStyle w:val="Heading1"/>
        <w:pBdr>
          <w:bottom w:val="single" w:color="2E74B5" w:sz="8" w:space="4"/>
        </w:pBdr>
        <w:spacing w:after="160" w:before="360"/>
      </w:pPr>
      <w:r>
        <w:rPr>
          <w:b/>
          <w:bCs/>
          <w:color w:val="1F3864"/>
        </w:rPr>
        <w:t xml:space="preserve">Table of Contents</w:t>
      </w:r>
    </w:p>
    <w:p>
      <w:pPr>
        <w:spacing w:after="80"/>
        <w:ind w:left="0"/>
      </w:pPr>
      <w:r>
        <w:rPr>
          <w:b/>
          <w:bCs/>
          <w:color w:val="1F3864"/>
          <w:sz w:val="22"/>
          <w:szCs w:val="22"/>
        </w:rPr>
        <w:t xml:space="preserve">1. Overview</w:t>
      </w:r>
    </w:p>
    <w:p>
      <w:pPr>
        <w:spacing w:after="80"/>
        <w:ind w:left="431"/>
      </w:pPr>
      <w:r>
        <w:rPr>
          <w:b w:val="false"/>
          <w:bCs w:val="false"/>
          <w:color w:val="000000"/>
          <w:sz w:val="21"/>
          <w:szCs w:val="21"/>
        </w:rPr>
        <w:t xml:space="preserve">1.1 Where to find it</w:t>
      </w:r>
    </w:p>
    <w:p>
      <w:pPr>
        <w:spacing w:after="80"/>
        <w:ind w:left="431"/>
      </w:pPr>
      <w:r>
        <w:rPr>
          <w:b w:val="false"/>
          <w:bCs w:val="false"/>
          <w:color w:val="000000"/>
          <w:sz w:val="21"/>
          <w:szCs w:val="21"/>
        </w:rPr>
        <w:t xml:space="preserve">1.2 Key fields you'll see everywhere</w:t>
      </w:r>
    </w:p>
    <w:p>
      <w:pPr>
        <w:spacing w:after="80"/>
        <w:ind w:left="431"/>
      </w:pPr>
      <w:r>
        <w:rPr>
          <w:b w:val="false"/>
          <w:bCs w:val="false"/>
          <w:color w:val="000000"/>
          <w:sz w:val="21"/>
          <w:szCs w:val="21"/>
        </w:rPr>
        <w:t xml:space="preserve">1.3 Who sees what</w:t>
      </w:r>
    </w:p>
    <w:p>
      <w:pPr>
        <w:spacing w:after="80"/>
        <w:ind w:left="0"/>
      </w:pPr>
      <w:r>
        <w:rPr>
          <w:b/>
          <w:bCs/>
          <w:color w:val="1F3864"/>
          <w:sz w:val="22"/>
          <w:szCs w:val="22"/>
        </w:rPr>
        <w:t xml:space="preserve">2. Walkthrough</w:t>
      </w:r>
    </w:p>
    <w:p>
      <w:pPr>
        <w:spacing w:after="80"/>
        <w:ind w:left="431"/>
      </w:pPr>
      <w:r>
        <w:rPr>
          <w:b w:val="false"/>
          <w:bCs w:val="false"/>
          <w:color w:val="000000"/>
          <w:sz w:val="21"/>
          <w:szCs w:val="21"/>
        </w:rPr>
        <w:t xml:space="preserve">2.1 Creating a new action item (Chrome extension)</w:t>
      </w:r>
    </w:p>
    <w:p>
      <w:pPr>
        <w:spacing w:after="80"/>
        <w:ind w:left="431"/>
      </w:pPr>
      <w:r>
        <w:rPr>
          <w:b w:val="false"/>
          <w:bCs w:val="false"/>
          <w:color w:val="000000"/>
          <w:sz w:val="21"/>
          <w:szCs w:val="21"/>
        </w:rPr>
        <w:t xml:space="preserve">2.2 The Action Register list (/recon-ticket)</w:t>
      </w:r>
    </w:p>
    <w:p>
      <w:pPr>
        <w:spacing w:after="80"/>
        <w:ind w:left="431"/>
      </w:pPr>
      <w:r>
        <w:rPr>
          <w:b w:val="false"/>
          <w:bCs w:val="false"/>
          <w:color w:val="000000"/>
          <w:sz w:val="21"/>
          <w:szCs w:val="21"/>
        </w:rPr>
        <w:t xml:space="preserve">2.3 The ticket detail view (/recon-ticket-view/{Submission ID})</w:t>
      </w:r>
    </w:p>
    <w:p>
      <w:pPr>
        <w:spacing w:after="80"/>
        <w:ind w:left="431"/>
      </w:pPr>
      <w:r>
        <w:rPr>
          <w:b w:val="false"/>
          <w:bCs w:val="false"/>
          <w:color w:val="000000"/>
          <w:sz w:val="21"/>
          <w:szCs w:val="21"/>
        </w:rPr>
        <w:t xml:space="preserve">2.4 Overdue Action Items (/recon-overdue)</w:t>
      </w:r>
    </w:p>
    <w:p>
      <w:pPr>
        <w:spacing w:after="80"/>
        <w:ind w:left="431"/>
      </w:pPr>
      <w:r>
        <w:rPr>
          <w:b w:val="false"/>
          <w:bCs w:val="false"/>
          <w:color w:val="000000"/>
          <w:sz w:val="21"/>
          <w:szCs w:val="21"/>
        </w:rPr>
        <w:t xml:space="preserve">2.5 Recon Dashboard (/dashboard-recon)</w:t>
      </w:r>
    </w:p>
    <w:p>
      <w:pPr>
        <w:spacing w:after="80"/>
        <w:ind w:left="0"/>
      </w:pPr>
      <w:r>
        <w:rPr>
          <w:b/>
          <w:bCs/>
          <w:color w:val="1F3864"/>
          <w:sz w:val="22"/>
          <w:szCs w:val="22"/>
        </w:rPr>
        <w:t xml:space="preserve">3. Training</w:t>
      </w:r>
    </w:p>
    <w:p>
      <w:pPr>
        <w:spacing w:after="80"/>
        <w:ind w:left="431"/>
      </w:pPr>
      <w:r>
        <w:rPr>
          <w:b w:val="false"/>
          <w:bCs w:val="false"/>
          <w:color w:val="000000"/>
          <w:sz w:val="21"/>
          <w:szCs w:val="21"/>
        </w:rPr>
        <w:t xml:space="preserve">3.1 For LDAs (Primary &amp; Secondary Owners)</w:t>
      </w:r>
    </w:p>
    <w:p>
      <w:pPr>
        <w:spacing w:after="80"/>
        <w:ind w:left="431"/>
      </w:pPr>
      <w:r>
        <w:rPr>
          <w:b w:val="false"/>
          <w:bCs w:val="false"/>
          <w:color w:val="000000"/>
          <w:sz w:val="21"/>
          <w:szCs w:val="21"/>
        </w:rPr>
        <w:t xml:space="preserve">3.2 For Supervisors &amp; SMEs</w:t>
      </w:r>
    </w:p>
    <w:p>
      <w:pPr>
        <w:spacing w:after="80"/>
        <w:ind w:left="431"/>
      </w:pPr>
      <w:r>
        <w:rPr>
          <w:b w:val="false"/>
          <w:bCs w:val="false"/>
          <w:color w:val="000000"/>
          <w:sz w:val="21"/>
          <w:szCs w:val="21"/>
        </w:rPr>
        <w:t xml:space="preserve">3.3 For Managers &amp; Admins</w:t>
      </w:r>
    </w:p>
    <w:p>
      <w:pPr>
        <w:spacing w:after="80"/>
        <w:ind w:left="431"/>
      </w:pPr>
      <w:r>
        <w:rPr>
          <w:b w:val="false"/>
          <w:bCs w:val="false"/>
          <w:color w:val="000000"/>
          <w:sz w:val="21"/>
          <w:szCs w:val="21"/>
        </w:rPr>
        <w:t xml:space="preserve">3.4 Common workflows, step by step</w:t>
      </w:r>
    </w:p>
    <w:p>
      <w:pPr>
        <w:spacing w:after="80"/>
        <w:ind w:left="431"/>
      </w:pPr>
      <w:r>
        <w:rPr>
          <w:b w:val="false"/>
          <w:bCs w:val="false"/>
          <w:color w:val="000000"/>
          <w:sz w:val="21"/>
          <w:szCs w:val="21"/>
        </w:rPr>
        <w:t xml:space="preserve">3.5 Frequently asked questions</w:t>
      </w:r>
    </w:p>
    <w:p>
      <w:pPr>
        <w:spacing w:after="80"/>
        <w:ind w:left="431"/>
      </w:pPr>
      <w:r>
        <w:rPr>
          <w:b w:val="false"/>
          <w:bCs w:val="false"/>
          <w:color w:val="000000"/>
          <w:sz w:val="21"/>
          <w:szCs w:val="21"/>
        </w:rPr>
        <w:t xml:space="preserve">3.6 Quick reference — status meanings</w:t>
      </w:r>
    </w:p>
    <w:p>
      <w:pPr>
        <w:spacing w:after="80"/>
        <w:ind w:left="0"/>
      </w:pPr>
      <w:r>
        <w:rPr>
          <w:b/>
          <w:bCs/>
          <w:color w:val="1F3864"/>
          <w:sz w:val="22"/>
          <w:szCs w:val="22"/>
        </w:rPr>
        <w:t xml:space="preserve">4. Getting Help</w:t>
      </w:r>
    </w:p>
    <w:p>
      <w:r>
        <w:br w:type="page"/>
      </w:r>
    </w:p>
    <w:p>
      <w:pPr>
        <w:pStyle w:val="Heading1"/>
        <w:pBdr>
          <w:bottom w:val="single" w:color="2E74B5" w:sz="8" w:space="4"/>
        </w:pBdr>
        <w:spacing w:after="160" w:before="360"/>
      </w:pPr>
      <w:r>
        <w:rPr>
          <w:b/>
          <w:bCs/>
          <w:color w:val="1F3864"/>
        </w:rPr>
        <w:t xml:space="preserve">1. Overview</w:t>
      </w:r>
    </w:p>
    <w:p>
      <w:pPr>
        <w:spacing w:after="160" w:line="276"/>
      </w:pPr>
      <w:r>
        <w:t xml:space="preserve">The </w:t>
      </w:r>
      <w:r>
        <w:rPr>
          <w:b/>
          <w:bCs/>
        </w:rPr>
        <w:t xml:space="preserve">Recon Call Action Register</w:t>
      </w:r>
      <w:r>
        <w:t xml:space="preserve"> is the system of record for follow-up items raised during or after a client/carrier reconciliation (</w:t>
      </w:r>
      <w:r>
        <w:rPr>
          <w:b/>
          <w:bCs/>
        </w:rPr>
        <w:t xml:space="preserve">recon</w:t>
      </w:r>
      <w:r>
        <w:t xml:space="preserve">) call. Each row is one action item: what needs to happen, who owns it, how old it is, and whether it has been closed out.</w:t>
      </w:r>
    </w:p>
    <w:p>
      <w:pPr>
        <w:spacing w:after="160" w:line="276"/>
      </w:pPr>
      <w:r>
        <w:t xml:space="preserve">An item's life cycle has two sides:</w:t>
      </w:r>
    </w:p>
    <w:p>
      <w:pPr>
        <w:pStyle w:val="ListParagraph"/>
        <w:numPr>
          <w:ilvl w:val="0"/>
          <w:numId w:val="2"/>
        </w:numPr>
        <w:spacing w:after="100" w:line="276"/>
      </w:pPr>
      <w:r>
        <w:rPr>
          <w:b/>
          <w:bCs/>
        </w:rPr>
        <w:t xml:space="preserve">Intake (Chrome extension): </w:t>
      </w:r>
      <w:r>
        <w:t xml:space="preserve">during or right after a recon call, the LDA (or whoever ran the call) logs the item using the </w:t>
      </w:r>
      <w:r>
        <w:rPr>
          <w:b/>
          <w:bCs/>
        </w:rPr>
        <w:t xml:space="preserve">Recon Call Action Register</w:t>
      </w:r>
      <w:r>
        <w:t xml:space="preserve"> form in the Chrome extension. Walked through step by step in section 2.1.</w:t>
      </w:r>
    </w:p>
    <w:p>
      <w:pPr>
        <w:pStyle w:val="ListParagraph"/>
        <w:numPr>
          <w:ilvl w:val="0"/>
          <w:numId w:val="2"/>
        </w:numPr>
        <w:spacing w:after="100" w:line="276"/>
      </w:pPr>
      <w:r>
        <w:rPr>
          <w:b/>
          <w:bCs/>
        </w:rPr>
        <w:t xml:space="preserve">Tracking &amp; resolution (web app): </w:t>
      </w:r>
      <w:r>
        <w:t xml:space="preserve">supervisors, SMEs, managers, and the owning LDA use the pages covered in this guide — the list view, the ticket detail view, the Overdue report, and the dashboard — to monitor, reassign, comment on, and close each item.</w:t>
      </w:r>
    </w:p>
    <w:p>
      <w:pPr>
        <w:pStyle w:val="Heading2"/>
        <w:spacing w:after="120" w:before="280"/>
      </w:pPr>
      <w:r>
        <w:rPr>
          <w:b/>
          <w:bCs/>
          <w:color w:val="2E74B5"/>
        </w:rPr>
        <w:t xml:space="preserve">1.1 Where to find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000"/>
      </w:tblGrid>
      <w:tr>
        <w:trPr>
          <w:cantSplit/>
          <w:tblHeader/>
        </w:trPr>
        <w:tc>
          <w:tcPr>
            <w:tcW w:type="dxa" w:w="2800"/>
            <w:shd w:fill="1F3864" w:val="clear"/>
            <w:tcMar>
              <w:top w:type="dxa" w:w="80"/>
              <w:left w:type="dxa" w:w="120"/>
              <w:bottom w:type="dxa" w:w="80"/>
              <w:right w:type="dxa" w:w="120"/>
            </w:tcMar>
            <w:vAlign w:val="center"/>
          </w:tcPr>
          <w:p>
            <w:pPr>
              <w:jc w:val="left"/>
            </w:pPr>
            <w:r>
              <w:rPr>
                <w:b/>
                <w:bCs/>
                <w:color w:val="FFFFFF"/>
                <w:sz w:val="20"/>
                <w:szCs w:val="20"/>
              </w:rPr>
              <w:t xml:space="preserve">Screen</w:t>
            </w:r>
          </w:p>
        </w:tc>
        <w:tc>
          <w:tcPr>
            <w:tcW w:type="dxa" w:w="3000"/>
            <w:shd w:fill="1F3864" w:val="clear"/>
            <w:tcMar>
              <w:top w:type="dxa" w:w="80"/>
              <w:left w:type="dxa" w:w="120"/>
              <w:bottom w:type="dxa" w:w="80"/>
              <w:right w:type="dxa" w:w="120"/>
            </w:tcMar>
            <w:vAlign w:val="center"/>
          </w:tcPr>
          <w:p>
            <w:pPr>
              <w:jc w:val="left"/>
            </w:pPr>
            <w:r>
              <w:rPr>
                <w:b/>
                <w:bCs/>
                <w:color w:val="FFFFFF"/>
                <w:sz w:val="20"/>
                <w:szCs w:val="20"/>
              </w:rPr>
              <w:t xml:space="preserve">URL</w:t>
            </w:r>
          </w:p>
        </w:tc>
        <w:tc>
          <w:tcPr>
            <w:tcW w:type="dxa" w:w="4000"/>
            <w:shd w:fill="1F3864" w:val="clear"/>
            <w:tcMar>
              <w:top w:type="dxa" w:w="80"/>
              <w:left w:type="dxa" w:w="120"/>
              <w:bottom w:type="dxa" w:w="80"/>
              <w:right w:type="dxa" w:w="120"/>
            </w:tcMar>
            <w:vAlign w:val="center"/>
          </w:tcPr>
          <w:p>
            <w:pPr>
              <w:jc w:val="left"/>
            </w:pPr>
            <w:r>
              <w:rPr>
                <w:b/>
                <w:bCs/>
                <w:color w:val="FFFFFF"/>
                <w:sz w:val="20"/>
                <w:szCs w:val="20"/>
              </w:rPr>
              <w:t xml:space="preserve">Purpose</w:t>
            </w:r>
          </w:p>
        </w:tc>
      </w:tr>
      <w:tr>
        <w:trPr>
          <w:cantSplit/>
        </w:trP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Action Register (list)</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/recon-ticket</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Search, filter, and export every action item you have access to.</w:t>
            </w:r>
          </w:p>
        </w:tc>
      </w:tr>
      <w:tr>
        <w:trPr>
          <w:cantSplit/>
        </w:trPr>
        <w:tc>
          <w:tcPr>
            <w:tcW w:type="dxa" w:w="28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Ticket detail view</w:t>
            </w:r>
          </w:p>
        </w:tc>
        <w:tc>
          <w:tcPr>
            <w:tcW w:type="dxa" w:w="30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/recon-ticket-view/{Submission ID}</w:t>
            </w:r>
          </w:p>
        </w:tc>
        <w:tc>
          <w:tcPr>
            <w:tcW w:type="dxa" w:w="40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Full detail on one item: status, ownership, comments, action item text.</w:t>
            </w:r>
          </w:p>
        </w:tc>
      </w:tr>
      <w:tr>
        <w:trPr>
          <w:cantSplit/>
        </w:trP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Overdue Action Items</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/recon-overdue</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Items open 7+ days, with day-count and quick filters — built for a weekly sweep.</w:t>
            </w:r>
          </w:p>
        </w:tc>
      </w:tr>
      <w:tr>
        <w:trPr>
          <w:cantSplit/>
        </w:trPr>
        <w:tc>
          <w:tcPr>
            <w:tcW w:type="dxa" w:w="28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Recon Dashboard</w:t>
            </w:r>
          </w:p>
        </w:tc>
        <w:tc>
          <w:tcPr>
            <w:tcW w:type="dxa" w:w="30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/dashboard-recon</w:t>
            </w:r>
          </w:p>
        </w:tc>
        <w:tc>
          <w:tcPr>
            <w:tcW w:type="dxa" w:w="40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Status counts, SLA aging buckets, and top client/carrier breakdowns.</w:t>
            </w:r>
          </w:p>
        </w:tc>
      </w:tr>
    </w:tbl>
    <w:p>
      <w:pPr>
        <w:spacing w:after="160" w:line="276"/>
      </w:pPr>
      <w:r>
        <w:t xml:space="preserve"/>
      </w:r>
    </w:p>
    <w:p>
      <w:pPr>
        <w:pStyle w:val="Heading2"/>
        <w:spacing w:after="120" w:before="280"/>
      </w:pPr>
      <w:r>
        <w:rPr>
          <w:b/>
          <w:bCs/>
          <w:color w:val="2E74B5"/>
        </w:rPr>
        <w:t xml:space="preserve">1.2 Key fields you'll see everywhere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cantSplit/>
          <w:tblHeader/>
        </w:trPr>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600"/>
            <w:shd w:fill="1F3864" w:val="clear"/>
            <w:tcMar>
              <w:top w:type="dxa" w:w="80"/>
              <w:left w:type="dxa" w:w="120"/>
              <w:bottom w:type="dxa" w:w="80"/>
              <w:right w:type="dxa" w:w="120"/>
            </w:tcMar>
            <w:vAlign w:val="center"/>
          </w:tcPr>
          <w:p>
            <w:pPr>
              <w:jc w:val="left"/>
            </w:pPr>
            <w:r>
              <w:rPr>
                <w:b/>
                <w:bCs/>
                <w:color w:val="FFFFFF"/>
                <w:sz w:val="20"/>
                <w:szCs w:val="20"/>
              </w:rPr>
              <w:t xml:space="preserve">What it means</w:t>
            </w:r>
          </w:p>
        </w:tc>
      </w:tr>
      <w:tr>
        <w:trPr>
          <w:cantSplit/>
        </w:trP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Submission ID</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The unique ID for the action item. Click it anywhere in the app to open the full ticket.</w:t>
            </w:r>
          </w:p>
        </w:tc>
      </w:tr>
      <w:tr>
        <w:trPr>
          <w:cantSplit/>
        </w:trPr>
        <w:tc>
          <w:tcPr>
            <w:tcW w:type="dxa" w:w="32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Recon Call Date</w:t>
            </w:r>
          </w:p>
        </w:tc>
        <w:tc>
          <w:tcPr>
            <w:tcW w:type="dxa" w:w="66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The date of the call that raised the item. This is the clock the 7-day SLA counts from.</w:t>
            </w:r>
          </w:p>
        </w:tc>
      </w:tr>
      <w:tr>
        <w:trPr>
          <w:cantSplit/>
        </w:trP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LDA Email (Primary Owner)</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The analyst the item was originally logged against.</w:t>
            </w:r>
          </w:p>
        </w:tc>
      </w:tr>
      <w:tr>
        <w:trPr>
          <w:cantSplit/>
        </w:trPr>
        <w:tc>
          <w:tcPr>
            <w:tcW w:type="dxa" w:w="32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Secondary Owner (Assigned To)</w:t>
            </w:r>
          </w:p>
        </w:tc>
        <w:tc>
          <w:tcPr>
            <w:tcW w:type="dxa" w:w="66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Whoever the item has been reassigned to via the ticket's Options → Assign action. Blank until someone reassigns it.</w:t>
            </w:r>
          </w:p>
        </w:tc>
      </w:tr>
      <w:tr>
        <w:trPr>
          <w:cantSplit/>
        </w:trP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Client Code / Carrier Code / Region</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Which client, carrier, and region the item belongs to.</w:t>
            </w:r>
          </w:p>
        </w:tc>
      </w:tr>
      <w:tr>
        <w:trPr>
          <w:cantSplit/>
        </w:trPr>
        <w:tc>
          <w:tcPr>
            <w:tcW w:type="dxa" w:w="32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Action Item Summary</w:t>
            </w:r>
          </w:p>
        </w:tc>
        <w:tc>
          <w:tcPr>
            <w:tcW w:type="dxa" w:w="66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A short description of what needs to happen.</w:t>
            </w:r>
          </w:p>
        </w:tc>
      </w:tr>
      <w:tr>
        <w:trPr>
          <w:cantSplit/>
        </w:trP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Action Item Details</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The fuller write-up — context, root cause, agreed next step.</w:t>
            </w:r>
          </w:p>
        </w:tc>
      </w:tr>
      <w:tr>
        <w:trPr>
          <w:cantSplit/>
        </w:trPr>
        <w:tc>
          <w:tcPr>
            <w:tcW w:type="dxa" w:w="32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Jira Ticket</w:t>
            </w:r>
          </w:p>
        </w:tc>
        <w:tc>
          <w:tcPr>
            <w:tcW w:type="dxa" w:w="66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The linked Jira reference, if the item was escalated to engineering/IT.</w:t>
            </w:r>
          </w:p>
        </w:tc>
      </w:tr>
      <w:tr>
        <w:trPr>
          <w:cantSplit/>
        </w:trP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Status</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To Do, Pending, In Progress, or Closed — see the Quick Reference in section 3.6.</w:t>
            </w:r>
          </w:p>
        </w:tc>
      </w:tr>
    </w:tbl>
    <w:p>
      <w:pPr>
        <w:spacing w:after="160" w:line="276"/>
      </w:pPr>
      <w:r>
        <w:t xml:space="preserve"/>
      </w:r>
    </w:p>
    <w:p>
      <w:pPr>
        <w:pStyle w:val="Heading2"/>
        <w:spacing w:after="120" w:before="280"/>
      </w:pPr>
      <w:r>
        <w:rPr>
          <w:b/>
          <w:bCs/>
          <w:color w:val="2E74B5"/>
        </w:rPr>
        <w:t xml:space="preserve">1.3 Who sees what</w:t>
      </w:r>
    </w:p>
    <w:p>
      <w:pPr>
        <w:spacing w:after="160" w:line="276"/>
      </w:pPr>
      <w:r>
        <w:t xml:space="preserve">Access is role-based and enforced on both the web app and the Chrome extension: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cantSplit/>
          <w:tblHeader/>
        </w:trPr>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7400"/>
            <w:shd w:fill="1F3864" w:val="clear"/>
            <w:tcMar>
              <w:top w:type="dxa" w:w="80"/>
              <w:left w:type="dxa" w:w="120"/>
              <w:bottom w:type="dxa" w:w="80"/>
              <w:right w:type="dxa" w:w="120"/>
            </w:tcMar>
            <w:vAlign w:val="center"/>
          </w:tcPr>
          <w:p>
            <w:pPr>
              <w:jc w:val="left"/>
            </w:pPr>
            <w:r>
              <w:rPr>
                <w:b/>
                <w:bCs/>
                <w:color w:val="FFFFFF"/>
                <w:sz w:val="20"/>
                <w:szCs w:val="20"/>
              </w:rPr>
              <w:t xml:space="preserve">What they can see</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LDA</w:t>
            </w:r>
          </w:p>
        </w:tc>
        <w:tc>
          <w:tcPr>
            <w:tcW w:type="dxa" w:w="7400"/>
            <w:tcMar>
              <w:top w:type="dxa" w:w="80"/>
              <w:left w:type="dxa" w:w="120"/>
              <w:bottom w:type="dxa" w:w="80"/>
              <w:right w:type="dxa" w:w="120"/>
            </w:tcMar>
            <w:vAlign w:val="center"/>
          </w:tcPr>
          <w:p>
            <w:pPr>
              <w:jc w:val="left"/>
            </w:pPr>
            <w:r>
              <w:rPr>
                <w:b w:val="false"/>
                <w:bCs w:val="false"/>
                <w:color w:val="000000"/>
                <w:sz w:val="20"/>
                <w:szCs w:val="20"/>
              </w:rPr>
              <w:t xml:space="preserve">Only their own items — where they are the Primary Owner (LDA Email) or the Secondary Owner (Assigned To). Chrome extension access to log new items.</w:t>
            </w:r>
          </w:p>
        </w:tc>
      </w:tr>
      <w:tr>
        <w:trPr>
          <w:cantSplit/>
        </w:trPr>
        <w:tc>
          <w:tcPr>
            <w:tcW w:type="dxa" w:w="2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Supervisor / SME</w:t>
            </w:r>
          </w:p>
        </w:tc>
        <w:tc>
          <w:tcPr>
            <w:tcW w:type="dxa" w:w="7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The full Action Register, Overdue report, and Recon Dashboard for everyone (the dashboard's "My Team" scope narrows this to their own reporting line).</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Manager</w:t>
            </w:r>
          </w:p>
        </w:tc>
        <w:tc>
          <w:tcPr>
            <w:tcW w:type="dxa" w:w="7400"/>
            <w:tcMar>
              <w:top w:type="dxa" w:w="80"/>
              <w:left w:type="dxa" w:w="120"/>
              <w:bottom w:type="dxa" w:w="80"/>
              <w:right w:type="dxa" w:w="120"/>
            </w:tcMar>
            <w:vAlign w:val="center"/>
          </w:tcPr>
          <w:p>
            <w:pPr>
              <w:jc w:val="left"/>
            </w:pPr>
            <w:r>
              <w:rPr>
                <w:b w:val="false"/>
                <w:bCs w:val="false"/>
                <w:color w:val="000000"/>
                <w:sz w:val="20"/>
                <w:szCs w:val="20"/>
              </w:rPr>
              <w:t xml:space="preserve">Everything a Supervisor/SME can see, across the whole organization.</w:t>
            </w:r>
          </w:p>
        </w:tc>
      </w:tr>
      <w:tr>
        <w:trPr>
          <w:cantSplit/>
        </w:trPr>
        <w:tc>
          <w:tcPr>
            <w:tcW w:type="dxa" w:w="2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Admin</w:t>
            </w:r>
          </w:p>
        </w:tc>
        <w:tc>
          <w:tcPr>
            <w:tcW w:type="dxa" w:w="7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Everything, no restrictions.</w:t>
            </w:r>
          </w:p>
        </w:tc>
      </w:tr>
    </w:tbl>
    <w:p>
      <w:pPr>
        <w:pStyle w:val="Heading1"/>
        <w:pBdr>
          <w:bottom w:val="single" w:color="2E74B5" w:sz="8" w:space="4"/>
        </w:pBdr>
        <w:spacing w:after="160" w:before="360"/>
      </w:pPr>
      <w:r>
        <w:rPr>
          <w:b/>
          <w:bCs/>
          <w:color w:val="1F3864"/>
        </w:rPr>
        <w:t xml:space="preserve">2. Walkthrough</w:t>
      </w:r>
    </w:p>
    <w:p>
      <w:pPr>
        <w:spacing w:after="160" w:line="276"/>
      </w:pPr>
      <w:r>
        <w:t xml:space="preserve">This section goes screen by screen — starting with how an item is created, then how it's tracked to closure. Use it the first time you open a page, or any time a field or button doesn't look familiar.</w:t>
      </w:r>
    </w:p>
    <w:p>
      <w:pPr>
        <w:pStyle w:val="Heading2"/>
        <w:spacing w:after="120" w:before="280"/>
      </w:pPr>
      <w:r>
        <w:rPr>
          <w:b/>
          <w:bCs/>
          <w:color w:val="2E74B5"/>
        </w:rPr>
        <w:t xml:space="preserve">2.1 Creating a new action item (Chrome extension)</w:t>
      </w:r>
    </w:p>
    <w:p>
      <w:pPr>
        <w:spacing w:after="160" w:line="276"/>
      </w:pPr>
      <w:r>
        <w:t xml:space="preserve">Every action item starts here — this is the intake step that creates the row the rest of this guide tracks.</w:t>
      </w:r>
    </w:p>
    <w:p>
      <w:pPr>
        <w:pStyle w:val="Heading3"/>
        <w:spacing w:after="100" w:before="200"/>
      </w:pPr>
      <w:r>
        <w:rPr>
          <w:b/>
          <w:bCs/>
          <w:color w:val="1F3864"/>
        </w:rPr>
        <w:t xml:space="preserve">2.1.1 Getting there</w:t>
      </w:r>
    </w:p>
    <w:p>
      <w:pPr>
        <w:spacing w:after="160" w:line="276"/>
      </w:pPr>
      <w:r>
        <w:t xml:space="preserve">In the Chrome extension, open </w:t>
      </w:r>
      <w:r>
        <w:rPr>
          <w:b/>
          <w:bCs/>
        </w:rPr>
        <w:t xml:space="preserve">Audit Ops Forms</w:t>
      </w:r>
      <w:r>
        <w:t xml:space="preserve"> and click </w:t>
      </w:r>
      <w:r>
        <w:rPr>
          <w:b/>
          <w:bCs/>
        </w:rPr>
        <w:t xml:space="preserve">Recon Call Action Register</w:t>
      </w:r>
      <w:r>
        <w:t xml:space="preserve">. This button only appears if you hold the </w:t>
      </w:r>
      <w:r>
        <w:rPr>
          <w:rFonts w:ascii="Consolas" w:cs="Consolas" w:eastAsia="Consolas" w:hAnsi="Consolas"/>
          <w:b/>
          <w:bCs/>
          <w:color w:val="1F3864"/>
          <w:sz w:val="20"/>
          <w:szCs w:val="20"/>
        </w:rPr>
        <w:t xml:space="preserve">extension_action_register</w:t>
      </w:r>
      <w:r>
        <w:t xml:space="preserve"> access type (or Admin) — LDAs are granted this automatically; if it's missing, ask your administrator to check your access.</w:t>
      </w:r>
    </w:p>
    <w:p>
      <w:pPr>
        <w:pStyle w:val="Heading3"/>
        <w:spacing w:after="100" w:before="200"/>
      </w:pPr>
      <w:r>
        <w:rPr>
          <w:b/>
          <w:bCs/>
          <w:color w:val="1F3864"/>
        </w:rPr>
        <w:t xml:space="preserve">2.1.2 Filling out the form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cantSplit/>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7200"/>
            <w:shd w:fill="1F3864" w:val="clear"/>
            <w:tcMar>
              <w:top w:type="dxa" w:w="80"/>
              <w:left w:type="dxa" w:w="120"/>
              <w:bottom w:type="dxa" w:w="80"/>
              <w:right w:type="dxa" w:w="120"/>
            </w:tcMar>
            <w:vAlign w:val="center"/>
          </w:tcPr>
          <w:p>
            <w:pPr>
              <w:jc w:val="left"/>
            </w:pPr>
            <w:r>
              <w:rPr>
                <w:b/>
                <w:bCs/>
                <w:color w:val="FFFFFF"/>
                <w:sz w:val="20"/>
                <w:szCs w:val="20"/>
              </w:rPr>
              <w:t xml:space="preserve">What to enter</w:t>
            </w:r>
          </w:p>
        </w:tc>
      </w:tr>
      <w:tr>
        <w:trPr>
          <w:cantSplit/>
        </w:trP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Recon Call Date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date of the recon call. This becomes the Recon Call Date everywhere else in the app, and it's what the 7-day SLA clock counts from — the only field on this form that isn't marked required, but skipping it will throw off aging and the Overdue report, so always set it.</w:t>
            </w:r>
          </w:p>
        </w:tc>
      </w:tr>
      <w:tr>
        <w:trPr>
          <w:cantSplit/>
        </w:trPr>
        <w:tc>
          <w:tcPr>
            <w:tcW w:type="dxa" w:w="26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Employee Name</w:t>
            </w:r>
          </w:p>
        </w:tc>
        <w:tc>
          <w:tcPr>
            <w:tcW w:type="dxa" w:w="72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Pre-filled with your own email and locked — this is how the extension knows you're the Primary Owner (LDA Email). You can't type over it.</w:t>
            </w:r>
          </w:p>
        </w:tc>
      </w:tr>
      <w:tr>
        <w:trPr>
          <w:cantSplit/>
        </w:trP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Audit Sup Email</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Searchable dropdown — pick your Audit Supervisor's email.</w:t>
            </w:r>
          </w:p>
        </w:tc>
      </w:tr>
      <w:tr>
        <w:trPr>
          <w:cantSplit/>
        </w:trPr>
        <w:tc>
          <w:tcPr>
            <w:tcW w:type="dxa" w:w="26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Client Code</w:t>
            </w:r>
          </w:p>
        </w:tc>
        <w:tc>
          <w:tcPr>
            <w:tcW w:type="dxa" w:w="72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Searchable dropdown of client codes.</w:t>
            </w:r>
          </w:p>
        </w:tc>
      </w:tr>
      <w:tr>
        <w:trPr>
          <w:cantSplit/>
        </w:trP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Carrier Code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Searchable dropdown of carrier codes.</w:t>
            </w:r>
          </w:p>
        </w:tc>
      </w:tr>
      <w:tr>
        <w:trPr>
          <w:cantSplit/>
        </w:trPr>
        <w:tc>
          <w:tcPr>
            <w:tcW w:type="dxa" w:w="26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Region</w:t>
            </w:r>
          </w:p>
        </w:tc>
        <w:tc>
          <w:tcPr>
            <w:tcW w:type="dxa" w:w="72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AMR, EMEA, or APAC.</w:t>
            </w:r>
          </w:p>
        </w:tc>
      </w:tr>
      <w:tr>
        <w:trPr>
          <w:cantSplit/>
        </w:trP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Action Item Summary</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 short description of what needs to happen — this is what shows (truncated) in the list view.</w:t>
            </w:r>
          </w:p>
        </w:tc>
      </w:tr>
      <w:tr>
        <w:trPr>
          <w:cantSplit/>
        </w:trPr>
        <w:tc>
          <w:tcPr>
            <w:tcW w:type="dxa" w:w="26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Action Item Details</w:t>
            </w:r>
          </w:p>
        </w:tc>
        <w:tc>
          <w:tcPr>
            <w:tcW w:type="dxa" w:w="72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The fuller write-up: context, root cause, agreed next step.</w:t>
            </w:r>
          </w:p>
        </w:tc>
      </w:tr>
      <w:tr>
        <w:trPr>
          <w:cantSplit/>
        </w:trP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Jira Link</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Jira reference, if one exists. Labeled "Jira Link" here; the same field is called "Jira Ticket" everywhere else in this guide.</w:t>
            </w:r>
          </w:p>
        </w:tc>
      </w:tr>
      <w:tr>
        <w:trPr>
          <w:cantSplit/>
        </w:trPr>
        <w:tc>
          <w:tcPr>
            <w:tcW w:type="dxa" w:w="26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Status</w:t>
            </w:r>
          </w:p>
        </w:tc>
        <w:tc>
          <w:tcPr>
            <w:tcW w:type="dxa" w:w="72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Usually left at To Do at creation — set it here if the item is already further along (e.g., logged after the fact as In Progress).</w:t>
            </w:r>
          </w:p>
        </w:tc>
      </w:tr>
    </w:tbl>
    <w:p>
      <w:pPr>
        <w:pStyle w:val="Heading3"/>
        <w:spacing w:after="100" w:before="200"/>
      </w:pPr>
      <w:r>
        <w:rPr>
          <w:b/>
          <w:bCs/>
          <w:color w:val="1F3864"/>
        </w:rPr>
        <w:t xml:space="preserve">2.1.3 Submitting</w:t>
      </w:r>
    </w:p>
    <w:p>
      <w:pPr>
        <w:spacing w:after="160" w:line="276"/>
      </w:pPr>
      <w:r>
        <w:t xml:space="preserve">Click Submit once every field is filled in. The item is created immediately and becomes visible right away to your Audit Supervisor and to anyone with Supervisor/SME/Manager/Admin access on the Action Register list, the Overdue report, and the Recon Dashboard covered in the rest of this section.</w:t>
      </w:r>
    </w:p>
    <w:p>
      <w:pPr>
        <w:pBdr>
          <w:left w:val="single" w:color="E0A800" w:sz="18" w:space="8"/>
        </w:pBdr>
        <w:shd w:fill="FFF6DF" w:val="clear"/>
        <w:spacing w:after="200" w:before="100"/>
        <w:ind w:left="100"/>
      </w:pPr>
      <w:r>
        <w:rPr>
          <w:b/>
          <w:bCs/>
          <w:color w:val="8A6D3B"/>
        </w:rPr>
        <w:t xml:space="preserve">Naming note: </w:t>
      </w:r>
      <w:r>
        <w:rPr>
          <w:color w:val="6B5A2E"/>
        </w:rPr>
        <w:t xml:space="preserve">The Jira Link field here and the Jira Ticket field shown on the web list and detail view are the same piece of data — just labeled differently depending on where you're looking at it.</w:t>
      </w:r>
    </w:p>
    <w:p>
      <w:pPr>
        <w:pStyle w:val="Heading2"/>
        <w:spacing w:after="120" w:before="280"/>
      </w:pPr>
      <w:r>
        <w:rPr>
          <w:b/>
          <w:bCs/>
          <w:color w:val="2E74B5"/>
        </w:rPr>
        <w:t xml:space="preserve">2.2 The Action Register list (/recon-ticket)</w:t>
      </w:r>
    </w:p>
    <w:p>
      <w:pPr>
        <w:spacing w:after="160" w:line="276"/>
      </w:pPr>
      <w:r>
        <w:t xml:space="preserve">This is the main list. At the top:</w:t>
      </w:r>
    </w:p>
    <w:p>
      <w:pPr>
        <w:pStyle w:val="ListParagraph"/>
        <w:numPr>
          <w:ilvl w:val="0"/>
          <w:numId w:val="2"/>
        </w:numPr>
        <w:spacing w:after="100" w:line="276"/>
      </w:pPr>
      <w:r>
        <w:rPr>
          <w:b/>
          <w:bCs/>
        </w:rPr>
        <w:t xml:space="preserve">Export to Excel</w:t>
      </w:r>
      <w:r>
        <w:t xml:space="preserve"> — downloads exactly what the table is currently showing. If you have filters applied, only the filtered rows are exported, in the same columns and order as the table (see section 2.2.3).</w:t>
      </w:r>
    </w:p>
    <w:p>
      <w:pPr>
        <w:pStyle w:val="Heading3"/>
        <w:spacing w:after="100" w:before="200"/>
      </w:pPr>
      <w:r>
        <w:rPr>
          <w:b/>
          <w:bCs/>
          <w:color w:val="1F3864"/>
        </w:rPr>
        <w:t xml:space="preserve">2.2.1 Filters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cantSplit/>
          <w:tblHeader/>
        </w:trPr>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Filter</w:t>
            </w:r>
          </w:p>
        </w:tc>
        <w:tc>
          <w:tcPr>
            <w:tcW w:type="dxa" w:w="7400"/>
            <w:shd w:fill="1F3864" w:val="clear"/>
            <w:tcMar>
              <w:top w:type="dxa" w:w="80"/>
              <w:left w:type="dxa" w:w="120"/>
              <w:bottom w:type="dxa" w:w="80"/>
              <w:right w:type="dxa" w:w="120"/>
            </w:tcMar>
            <w:vAlign w:val="center"/>
          </w:tcPr>
          <w:p>
            <w:pPr>
              <w:jc w:val="left"/>
            </w:pPr>
            <w:r>
              <w:rPr>
                <w:b/>
                <w:bCs/>
                <w:color w:val="FFFFFF"/>
                <w:sz w:val="20"/>
                <w:szCs w:val="20"/>
              </w:rPr>
              <w:t xml:space="preserve">Behavior</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Name</w:t>
            </w:r>
          </w:p>
        </w:tc>
        <w:tc>
          <w:tcPr>
            <w:tcW w:type="dxa" w:w="7400"/>
            <w:tcMar>
              <w:top w:type="dxa" w:w="80"/>
              <w:left w:type="dxa" w:w="120"/>
              <w:bottom w:type="dxa" w:w="80"/>
              <w:right w:type="dxa" w:w="120"/>
            </w:tcMar>
            <w:vAlign w:val="center"/>
          </w:tcPr>
          <w:p>
            <w:pPr>
              <w:jc w:val="left"/>
            </w:pPr>
            <w:r>
              <w:rPr>
                <w:b w:val="false"/>
                <w:bCs w:val="false"/>
                <w:color w:val="000000"/>
                <w:sz w:val="20"/>
                <w:szCs w:val="20"/>
              </w:rPr>
              <w:t xml:space="preserve">Free-text search on the owning LDA's name. Updates the table shortly after you stop typing.</w:t>
            </w:r>
          </w:p>
        </w:tc>
      </w:tr>
      <w:tr>
        <w:trPr>
          <w:cantSplit/>
        </w:trPr>
        <w:tc>
          <w:tcPr>
            <w:tcW w:type="dxa" w:w="2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Client Code</w:t>
            </w:r>
          </w:p>
        </w:tc>
        <w:tc>
          <w:tcPr>
            <w:tcW w:type="dxa" w:w="7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Searchable dropdown, populated from the actual client codes in the data.</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Carrier Code</w:t>
            </w:r>
          </w:p>
        </w:tc>
        <w:tc>
          <w:tcPr>
            <w:tcW w:type="dxa" w:w="7400"/>
            <w:tcMar>
              <w:top w:type="dxa" w:w="80"/>
              <w:left w:type="dxa" w:w="120"/>
              <w:bottom w:type="dxa" w:w="80"/>
              <w:right w:type="dxa" w:w="120"/>
            </w:tcMar>
            <w:vAlign w:val="center"/>
          </w:tcPr>
          <w:p>
            <w:pPr>
              <w:jc w:val="left"/>
            </w:pPr>
            <w:r>
              <w:rPr>
                <w:b w:val="false"/>
                <w:bCs w:val="false"/>
                <w:color w:val="000000"/>
                <w:sz w:val="20"/>
                <w:szCs w:val="20"/>
              </w:rPr>
              <w:t xml:space="preserve">Searchable dropdown, populated from the actual carrier codes in the data.</w:t>
            </w:r>
          </w:p>
        </w:tc>
      </w:tr>
      <w:tr>
        <w:trPr>
          <w:cantSplit/>
        </w:trPr>
        <w:tc>
          <w:tcPr>
            <w:tcW w:type="dxa" w:w="2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Status</w:t>
            </w:r>
          </w:p>
        </w:tc>
        <w:tc>
          <w:tcPr>
            <w:tcW w:type="dxa" w:w="7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To Do / Pending / In Progress / Closed.</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Date Range (Recon Date)</w:t>
            </w:r>
          </w:p>
        </w:tc>
        <w:tc>
          <w:tcPr>
            <w:tcW w:type="dxa" w:w="7400"/>
            <w:tcMar>
              <w:top w:type="dxa" w:w="80"/>
              <w:left w:type="dxa" w:w="120"/>
              <w:bottom w:type="dxa" w:w="80"/>
              <w:right w:type="dxa" w:w="120"/>
            </w:tcMar>
            <w:vAlign w:val="center"/>
          </w:tcPr>
          <w:p>
            <w:pPr>
              <w:jc w:val="left"/>
            </w:pPr>
            <w:r>
              <w:rPr>
                <w:b w:val="false"/>
                <w:bCs w:val="false"/>
                <w:color w:val="000000"/>
                <w:sz w:val="20"/>
                <w:szCs w:val="20"/>
              </w:rPr>
              <w:t xml:space="preserve">From / To — filters on Recon Call Date, not on when the row was created.</w:t>
            </w:r>
          </w:p>
        </w:tc>
      </w:tr>
      <w:tr>
        <w:trPr>
          <w:cantSplit/>
        </w:trPr>
        <w:tc>
          <w:tcPr>
            <w:tcW w:type="dxa" w:w="2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Reset Filters</w:t>
            </w:r>
          </w:p>
        </w:tc>
        <w:tc>
          <w:tcPr>
            <w:tcW w:type="dxa" w:w="7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Clears every filter above and reloads the full list (subject to your role's visibility).</w:t>
            </w:r>
          </w:p>
        </w:tc>
      </w:tr>
    </w:tbl>
    <w:p>
      <w:pPr>
        <w:pStyle w:val="Heading3"/>
        <w:spacing w:after="100" w:before="200"/>
      </w:pPr>
      <w:r>
        <w:rPr>
          <w:b/>
          <w:bCs/>
          <w:color w:val="1F3864"/>
        </w:rPr>
        <w:t xml:space="preserve">2.2.2 Table columns</w:t>
      </w:r>
    </w:p>
    <w:p>
      <w:pPr>
        <w:spacing w:after="160" w:line="276"/>
      </w:pPr>
      <w:r>
        <w:t xml:space="preserve">Submission ID, Name (the LDA), Recon Date, Client Code, Carrier Code, Region, Action Item Summary, Action Item Details, Jira Ticket, Status (color-coded badge), Created At. Long Action Item Summary/Details are truncated with a tooltip — hover to read the full text, or open the ticket for the full write-up.</w:t>
      </w:r>
    </w:p>
    <w:p>
      <w:pPr>
        <w:pBdr>
          <w:left w:val="single" w:color="E0A800" w:sz="18" w:space="8"/>
        </w:pBdr>
        <w:shd w:fill="FFF6DF" w:val="clear"/>
        <w:spacing w:after="200" w:before="100"/>
        <w:ind w:left="100"/>
      </w:pPr>
      <w:r>
        <w:rPr>
          <w:b/>
          <w:bCs/>
          <w:color w:val="8A6D3B"/>
        </w:rPr>
        <w:t xml:space="preserve">Tip: </w:t>
      </w:r>
      <w:r>
        <w:rPr>
          <w:color w:val="6B5A2E"/>
        </w:rPr>
        <w:t xml:space="preserve">Status badge colors: To Do = gray, Pending = yellow, In Progress = blue, Closed = green.</w:t>
      </w:r>
    </w:p>
    <w:p>
      <w:pPr>
        <w:pStyle w:val="Heading3"/>
        <w:spacing w:after="100" w:before="200"/>
      </w:pPr>
      <w:r>
        <w:rPr>
          <w:b/>
          <w:bCs/>
          <w:color w:val="1F3864"/>
        </w:rPr>
        <w:t xml:space="preserve">2.2.3 Exporting</w:t>
      </w:r>
    </w:p>
    <w:p>
      <w:pPr>
        <w:spacing w:after="160" w:line="276"/>
      </w:pPr>
      <w:r>
        <w:t xml:space="preserve">Click </w:t>
      </w:r>
      <w:r>
        <w:rPr>
          <w:b/>
          <w:bCs/>
        </w:rPr>
        <w:t xml:space="preserve">Export to Excel</w:t>
      </w:r>
      <w:r>
        <w:t xml:space="preserve"> after setting whatever filters you need. The workbook contains the same columns as the table, in the same order, and only the rows matching your current Name / Client / Carrier / Status / Date Range filters — so a filtered export for one client is a one-step download, not a full export you then have to clean up.</w:t>
      </w:r>
    </w:p>
    <w:p>
      <w:pPr>
        <w:pStyle w:val="Heading2"/>
        <w:spacing w:after="120" w:before="280"/>
      </w:pPr>
      <w:r>
        <w:rPr>
          <w:b/>
          <w:bCs/>
          <w:color w:val="2E74B5"/>
        </w:rPr>
        <w:t xml:space="preserve">2.3 The ticket detail view (/recon-ticket-view/{Submission ID})</w:t>
      </w:r>
    </w:p>
    <w:p>
      <w:pPr>
        <w:spacing w:after="160" w:line="276"/>
      </w:pPr>
      <w:r>
        <w:t xml:space="preserve">Click any Submission ID (in the list, the Overdue report, or a dashboard drill-down) to open the full ticket.</w:t>
      </w:r>
    </w:p>
    <w:p>
      <w:pPr>
        <w:pStyle w:val="Heading3"/>
        <w:spacing w:after="100" w:before="200"/>
      </w:pPr>
      <w:r>
        <w:rPr>
          <w:b/>
          <w:bCs/>
          <w:color w:val="1F3864"/>
        </w:rPr>
        <w:t xml:space="preserve">2.3.1 Details card</w:t>
      </w:r>
    </w:p>
    <w:p>
      <w:pPr>
        <w:spacing w:after="160" w:line="276"/>
      </w:pPr>
      <w:r>
        <w:t xml:space="preserve">Submission ID, Recon Call Date, LDA Email (Primary Owner), Supervisor, Client Code, Carrier Code, Region, Jira Ticket, and Secondary Owner (the current assignee, or N/A if never reassigned).</w:t>
      </w:r>
    </w:p>
    <w:p>
      <w:pPr>
        <w:pStyle w:val="Heading3"/>
        <w:spacing w:after="100" w:before="200"/>
      </w:pPr>
      <w:r>
        <w:rPr>
          <w:b/>
          <w:bCs/>
          <w:color w:val="1F3864"/>
        </w:rPr>
        <w:t xml:space="preserve">2.3.2 Action Item Summary &amp; Action Item Details cards</w:t>
      </w:r>
    </w:p>
    <w:p>
      <w:pPr>
        <w:spacing w:after="160" w:line="276"/>
      </w:pPr>
      <w:r>
        <w:t xml:space="preserve">Read-only — this is the write-up captured at intake on the Chrome extension (section 2.1). If it needs correcting, use Comments (below) to record the correction; the original text is left intact for the audit history.</w:t>
      </w:r>
    </w:p>
    <w:p>
      <w:pPr>
        <w:pStyle w:val="Heading3"/>
        <w:spacing w:after="100" w:before="200"/>
      </w:pPr>
      <w:r>
        <w:rPr>
          <w:b/>
          <w:bCs/>
          <w:color w:val="1F3864"/>
        </w:rPr>
        <w:t xml:space="preserve">2.3.3 Status</w:t>
      </w:r>
    </w:p>
    <w:p>
      <w:pPr>
        <w:spacing w:after="160" w:line="276"/>
      </w:pPr>
      <w:r>
        <w:t xml:space="preserve">The status button in the right-hand panel is color-coded to match the list badges. Click it to open the dropdown and choose </w:t>
      </w:r>
      <w:r>
        <w:rPr>
          <w:rFonts w:ascii="Consolas" w:cs="Consolas" w:eastAsia="Consolas" w:hAnsi="Consolas"/>
          <w:b/>
          <w:bCs/>
          <w:color w:val="1F3864"/>
          <w:sz w:val="20"/>
          <w:szCs w:val="20"/>
        </w:rPr>
        <w:t xml:space="preserve">To Do</w:t>
      </w:r>
      <w:r>
        <w:t xml:space="preserve">, </w:t>
      </w:r>
      <w:r>
        <w:rPr>
          <w:rFonts w:ascii="Consolas" w:cs="Consolas" w:eastAsia="Consolas" w:hAnsi="Consolas"/>
          <w:b/>
          <w:bCs/>
          <w:color w:val="1F3864"/>
          <w:sz w:val="20"/>
          <w:szCs w:val="20"/>
        </w:rPr>
        <w:t xml:space="preserve">Pending</w:t>
      </w:r>
      <w:r>
        <w:t xml:space="preserve">, </w:t>
      </w:r>
      <w:r>
        <w:rPr>
          <w:rFonts w:ascii="Consolas" w:cs="Consolas" w:eastAsia="Consolas" w:hAnsi="Consolas"/>
          <w:b/>
          <w:bCs/>
          <w:color w:val="1F3864"/>
          <w:sz w:val="20"/>
          <w:szCs w:val="20"/>
        </w:rPr>
        <w:t xml:space="preserve">In Progress</w:t>
      </w:r>
      <w:r>
        <w:t xml:space="preserve">, or </w:t>
      </w:r>
      <w:r>
        <w:rPr>
          <w:rFonts w:ascii="Consolas" w:cs="Consolas" w:eastAsia="Consolas" w:hAnsi="Consolas"/>
          <w:b/>
          <w:bCs/>
          <w:color w:val="1F3864"/>
          <w:sz w:val="20"/>
          <w:szCs w:val="20"/>
        </w:rPr>
        <w:t xml:space="preserve">Closed</w:t>
      </w:r>
      <w:r>
        <w:t xml:space="preserve">. The change saves immediately — there's no separate Save button.</w:t>
      </w:r>
    </w:p>
    <w:p>
      <w:pPr>
        <w:pBdr>
          <w:left w:val="single" w:color="E0A800" w:sz="18" w:space="8"/>
        </w:pBdr>
        <w:shd w:fill="FFF6DF" w:val="clear"/>
        <w:spacing w:after="200" w:before="100"/>
        <w:ind w:left="100"/>
      </w:pPr>
      <w:r>
        <w:rPr>
          <w:b/>
          <w:bCs/>
          <w:color w:val="8A6D3B"/>
        </w:rPr>
        <w:t xml:space="preserve">Good to know: </w:t>
      </w:r>
      <w:r>
        <w:rPr>
          <w:color w:val="6B5A2E"/>
        </w:rPr>
        <w:t xml:space="preserve">Every status change automatically writes a comment ("Status changed from X to Y") to the Comments log below, so there is always a record of who moved the item and when — you don't need to add your own note just to record the status change itself.</w:t>
      </w:r>
    </w:p>
    <w:p>
      <w:pPr>
        <w:pStyle w:val="Heading3"/>
        <w:spacing w:after="100" w:before="200"/>
      </w:pPr>
      <w:r>
        <w:rPr>
          <w:b/>
          <w:bCs/>
          <w:color w:val="1F3864"/>
        </w:rPr>
        <w:t xml:space="preserve">2.3.4 Options → Assign (Secondary Owner)</w:t>
      </w:r>
    </w:p>
    <w:p>
      <w:pPr>
        <w:spacing w:after="160" w:line="276"/>
      </w:pPr>
      <w:r>
        <w:t xml:space="preserve">Click Options in the top-right of the page to open the Assign panel. Choose a name from the Name dropdown and click Update. This sets (or changes) the Secondary Owner shown in the Details card — use it to hand an item to a specific person without changing who the Primary Owner (LDA Email) is.</w:t>
      </w:r>
    </w:p>
    <w:p>
      <w:pPr>
        <w:pStyle w:val="Heading3"/>
        <w:spacing w:after="100" w:before="200"/>
      </w:pPr>
      <w:r>
        <w:rPr>
          <w:b/>
          <w:bCs/>
          <w:color w:val="1F3864"/>
        </w:rPr>
        <w:t xml:space="preserve">2.3.5 Comments</w:t>
      </w:r>
    </w:p>
    <w:p>
      <w:pPr>
        <w:spacing w:after="160" w:line="276"/>
      </w:pPr>
      <w:r>
        <w:t xml:space="preserve">Click </w:t>
      </w:r>
      <w:r>
        <w:rPr>
          <w:b/>
          <w:bCs/>
        </w:rPr>
        <w:t xml:space="preserve">Add a comment</w:t>
      </w:r>
      <w:r>
        <w:t xml:space="preserve"> to open the comment box, type your note, and click </w:t>
      </w:r>
      <w:r>
        <w:rPr>
          <w:b/>
          <w:bCs/>
        </w:rPr>
        <w:t xml:space="preserve">Update</w:t>
      </w:r>
      <w:r>
        <w:t xml:space="preserve"> to save it. Comments are listed newest first and include every automatic status-change entry, so the log reads as a running history of the item — what was found, what was done, and when the status moved.</w:t>
      </w:r>
    </w:p>
    <w:p>
      <w:pPr>
        <w:pStyle w:val="Heading2"/>
        <w:spacing w:after="120" w:before="280"/>
      </w:pPr>
      <w:r>
        <w:rPr>
          <w:b/>
          <w:bCs/>
          <w:color w:val="2E74B5"/>
        </w:rPr>
        <w:t xml:space="preserve">2.4 Overdue Action Items (/recon-overdue)</w:t>
      </w:r>
    </w:p>
    <w:p>
      <w:pPr>
        <w:spacing w:after="160" w:line="276"/>
      </w:pPr>
      <w:r>
        <w:t xml:space="preserve">A focused view of everything that has been open too long. Only shows items that are not Closed and have a Recon Call Date recorded.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cantSplit/>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Filter</w:t>
            </w:r>
          </w:p>
        </w:tc>
        <w:tc>
          <w:tcPr>
            <w:tcW w:type="dxa" w:w="7200"/>
            <w:shd w:fill="1F3864" w:val="clear"/>
            <w:tcMar>
              <w:top w:type="dxa" w:w="80"/>
              <w:left w:type="dxa" w:w="120"/>
              <w:bottom w:type="dxa" w:w="80"/>
              <w:right w:type="dxa" w:w="120"/>
            </w:tcMar>
            <w:vAlign w:val="center"/>
          </w:tcPr>
          <w:p>
            <w:pPr>
              <w:jc w:val="left"/>
            </w:pPr>
            <w:r>
              <w:rPr>
                <w:b/>
                <w:bCs/>
                <w:color w:val="FFFFFF"/>
                <w:sz w:val="20"/>
                <w:szCs w:val="20"/>
              </w:rPr>
              <w:t xml:space="preserve">Behavior</w:t>
            </w:r>
          </w:p>
        </w:tc>
      </w:tr>
      <w:tr>
        <w:trPr>
          <w:cantSplit/>
        </w:trP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LDA Name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Free-text search on the owner's name.</w:t>
            </w:r>
          </w:p>
        </w:tc>
      </w:tr>
      <w:tr>
        <w:trPr>
          <w:cantSplit/>
        </w:trPr>
        <w:tc>
          <w:tcPr>
            <w:tcW w:type="dxa" w:w="26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Client / Carrier / Region / Status</w:t>
            </w:r>
          </w:p>
        </w:tc>
        <w:tc>
          <w:tcPr>
            <w:tcW w:type="dxa" w:w="72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Same dropdowns as the main list.</w:t>
            </w:r>
          </w:p>
        </w:tc>
      </w:tr>
      <w:tr>
        <w:trPr>
          <w:cantSplit/>
        </w:trP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Min days open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Defaults to 7 (the SLA). Raise it to see only the oldest items, e.g. 15+.</w:t>
            </w:r>
          </w:p>
        </w:tc>
      </w:tr>
    </w:tbl>
    <w:p>
      <w:pPr>
        <w:spacing w:after="160" w:before="160" w:line="276"/>
      </w:pPr>
      <w:r>
        <w:t xml:space="preserve">The table shows </w:t>
      </w:r>
      <w:r>
        <w:rPr>
          <w:b/>
          <w:bCs/>
        </w:rPr>
        <w:t xml:space="preserve">Days Open</w:t>
      </w:r>
      <w:r>
        <w:t xml:space="preserve"> as a badge — amber under 15 days, red at 15+ — plus a direct </w:t>
      </w:r>
      <w:r>
        <w:rPr>
          <w:b/>
          <w:bCs/>
        </w:rPr>
        <w:t xml:space="preserve">Open</w:t>
      </w:r>
      <w:r>
        <w:t xml:space="preserve"> link into the ticket. Use the Filter/Reset buttons above the table to apply or clear these.</w:t>
      </w:r>
    </w:p>
    <w:p>
      <w:pPr>
        <w:pStyle w:val="Heading2"/>
        <w:spacing w:after="120" w:before="280"/>
      </w:pPr>
      <w:r>
        <w:rPr>
          <w:b/>
          <w:bCs/>
          <w:color w:val="2E74B5"/>
        </w:rPr>
        <w:t xml:space="preserve">2.5 Recon Dashboard (/dashboard-recon)</w:t>
      </w:r>
    </w:p>
    <w:p>
      <w:pPr>
        <w:spacing w:after="160" w:line="276"/>
      </w:pPr>
      <w:r>
        <w:t xml:space="preserve">A one-page health check for the whole Action Register, or your team specifically.</w:t>
      </w:r>
    </w:p>
    <w:p>
      <w:pPr>
        <w:pStyle w:val="Heading3"/>
        <w:spacing w:after="100" w:before="200"/>
      </w:pPr>
      <w:r>
        <w:rPr>
          <w:b/>
          <w:bCs/>
          <w:color w:val="1F3864"/>
        </w:rPr>
        <w:t xml:space="preserve">2.5.1 Filters (apply to every card, chart, and table below them)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cantSplit/>
          <w:tblHeader/>
        </w:trPr>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Filter</w:t>
            </w:r>
          </w:p>
        </w:tc>
        <w:tc>
          <w:tcPr>
            <w:tcW w:type="dxa" w:w="7400"/>
            <w:shd w:fill="1F3864" w:val="clear"/>
            <w:tcMar>
              <w:top w:type="dxa" w:w="80"/>
              <w:left w:type="dxa" w:w="120"/>
              <w:bottom w:type="dxa" w:w="80"/>
              <w:right w:type="dxa" w:w="120"/>
            </w:tcMar>
            <w:vAlign w:val="center"/>
          </w:tcPr>
          <w:p>
            <w:pPr>
              <w:jc w:val="left"/>
            </w:pPr>
            <w:r>
              <w:rPr>
                <w:b/>
                <w:bCs/>
                <w:color w:val="FFFFFF"/>
                <w:sz w:val="20"/>
                <w:szCs w:val="20"/>
              </w:rPr>
              <w:t xml:space="preserve">Behavior</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Scope</w:t>
            </w:r>
          </w:p>
        </w:tc>
        <w:tc>
          <w:tcPr>
            <w:tcW w:type="dxa" w:w="7400"/>
            <w:tcMar>
              <w:top w:type="dxa" w:w="80"/>
              <w:left w:type="dxa" w:w="120"/>
              <w:bottom w:type="dxa" w:w="80"/>
              <w:right w:type="dxa" w:w="120"/>
            </w:tcMar>
            <w:vAlign w:val="center"/>
          </w:tcPr>
          <w:p>
            <w:pPr>
              <w:jc w:val="left"/>
            </w:pPr>
            <w:r>
              <w:rPr>
                <w:b w:val="false"/>
                <w:bCs w:val="false"/>
                <w:color w:val="000000"/>
                <w:sz w:val="20"/>
                <w:szCs w:val="20"/>
              </w:rPr>
              <w:t xml:space="preserve">All Tickets, or My Team (only the LDAs in your reporting line).</w:t>
            </w:r>
          </w:p>
        </w:tc>
      </w:tr>
      <w:tr>
        <w:trPr>
          <w:cantSplit/>
        </w:trPr>
        <w:tc>
          <w:tcPr>
            <w:tcW w:type="dxa" w:w="2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Date Range</w:t>
            </w:r>
          </w:p>
        </w:tc>
        <w:tc>
          <w:tcPr>
            <w:tcW w:type="dxa" w:w="7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From / To on Recon Call Date.</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Apply / Reset</w:t>
            </w:r>
          </w:p>
        </w:tc>
        <w:tc>
          <w:tcPr>
            <w:tcW w:type="dxa" w:w="7400"/>
            <w:tcMar>
              <w:top w:type="dxa" w:w="80"/>
              <w:left w:type="dxa" w:w="120"/>
              <w:bottom w:type="dxa" w:w="80"/>
              <w:right w:type="dxa" w:w="120"/>
            </w:tcMar>
            <w:vAlign w:val="center"/>
          </w:tcPr>
          <w:p>
            <w:pPr>
              <w:jc w:val="left"/>
            </w:pPr>
            <w:r>
              <w:rPr>
                <w:b w:val="false"/>
                <w:bCs w:val="false"/>
                <w:color w:val="000000"/>
                <w:sz w:val="20"/>
                <w:szCs w:val="20"/>
              </w:rPr>
              <w:t xml:space="preserve">Apply re-runs everything below with the current Scope + Date Range; Reset clears both.</w:t>
            </w:r>
          </w:p>
        </w:tc>
      </w:tr>
    </w:tbl>
    <w:p>
      <w:pPr>
        <w:pStyle w:val="Heading3"/>
        <w:spacing w:after="100" w:before="200"/>
      </w:pPr>
      <w:r>
        <w:rPr>
          <w:b/>
          <w:bCs/>
          <w:color w:val="1F3864"/>
        </w:rPr>
        <w:t xml:space="preserve">2.5.2 Status cards</w:t>
      </w:r>
    </w:p>
    <w:p>
      <w:pPr>
        <w:spacing w:after="160" w:line="276"/>
      </w:pPr>
      <w:r>
        <w:t xml:space="preserve">Total Tickets, Total To Do, Total Pending, Total In Progress, Total Closed — a live count for the current Scope and Date Range.</w:t>
      </w:r>
    </w:p>
    <w:p>
      <w:pPr>
        <w:pStyle w:val="Heading3"/>
        <w:spacing w:after="100" w:before="200"/>
      </w:pPr>
      <w:r>
        <w:rPr>
          <w:b/>
          <w:bCs/>
          <w:color w:val="1F3864"/>
        </w:rPr>
        <w:t xml:space="preserve">2.5.3 Open Item Aging (SLA: 7 days)</w:t>
      </w:r>
    </w:p>
    <w:p>
      <w:pPr>
        <w:spacing w:after="160" w:line="276"/>
      </w:pPr>
      <w:r>
        <w:t xml:space="preserve">Buckets open, non-Closed items into </w:t>
      </w:r>
      <w:r>
        <w:rPr>
          <w:b/>
          <w:bCs/>
        </w:rPr>
        <w:t xml:space="preserve">Overdue (7+ days)</w:t>
      </w:r>
      <w:r>
        <w:t xml:space="preserve">, </w:t>
      </w:r>
      <w:r>
        <w:rPr>
          <w:b/>
          <w:bCs/>
        </w:rPr>
        <w:t xml:space="preserve">0–3 days</w:t>
      </w:r>
      <w:r>
        <w:t xml:space="preserve">, </w:t>
      </w:r>
      <w:r>
        <w:rPr>
          <w:b/>
          <w:bCs/>
        </w:rPr>
        <w:t xml:space="preserve">4–7 days</w:t>
      </w:r>
      <w:r>
        <w:t xml:space="preserve">, </w:t>
      </w:r>
      <w:r>
        <w:rPr>
          <w:b/>
          <w:bCs/>
        </w:rPr>
        <w:t xml:space="preserve">8–14 days</w:t>
      </w:r>
      <w:r>
        <w:t xml:space="preserve">, and </w:t>
      </w:r>
      <w:r>
        <w:rPr>
          <w:b/>
          <w:bCs/>
        </w:rPr>
        <w:t xml:space="preserve">15+ days</w:t>
      </w:r>
      <w:r>
        <w:t xml:space="preserve">.</w:t>
      </w:r>
    </w:p>
    <w:p>
      <w:pPr>
        <w:pBdr>
          <w:left w:val="single" w:color="E0A800" w:sz="18" w:space="8"/>
        </w:pBdr>
        <w:shd w:fill="FFF6DF" w:val="clear"/>
        <w:spacing w:after="200" w:before="100"/>
        <w:ind w:left="100"/>
      </w:pPr>
      <w:r>
        <w:rPr>
          <w:b/>
          <w:bCs/>
          <w:color w:val="8A6D3B"/>
        </w:rPr>
        <w:t xml:space="preserve">Why yesterday, not today: </w:t>
      </w:r>
      <w:r>
        <w:rPr>
          <w:color w:val="6B5A2E"/>
        </w:rPr>
        <w:t xml:space="preserve">This card intentionally excludes items with a Recon Call Date of today — it reports aging as of yesterday, so a same-day item doesn't briefly (and misleadingly) count as "0 days overdue" before anyone has had a chance to act on it.</w:t>
      </w:r>
    </w:p>
    <w:p>
      <w:pPr>
        <w:pStyle w:val="Heading3"/>
        <w:spacing w:after="100" w:before="200"/>
      </w:pPr>
      <w:r>
        <w:rPr>
          <w:b/>
          <w:bCs/>
          <w:color w:val="1F3864"/>
        </w:rPr>
        <w:t xml:space="preserve">2.5.4 Top 20 Client Codes / Top 20 Carrier Codes charts</w:t>
      </w:r>
    </w:p>
    <w:p>
      <w:pPr>
        <w:spacing w:after="160" w:line="276"/>
      </w:pPr>
      <w:r>
        <w:t xml:space="preserve">Bar charts of open (non-Closed) item volume by client and by carrier — use these to see which relationships are generating the most follow-up work.</w:t>
      </w:r>
    </w:p>
    <w:p>
      <w:pPr>
        <w:pStyle w:val="Heading3"/>
        <w:spacing w:after="100" w:before="200"/>
      </w:pPr>
      <w:r>
        <w:rPr>
          <w:b/>
          <w:bCs/>
          <w:color w:val="1F3864"/>
        </w:rPr>
        <w:t xml:space="preserve">2.5.5 Top 10 Client/Carrier Breakdown table</w:t>
      </w:r>
    </w:p>
    <w:p>
      <w:pPr>
        <w:spacing w:after="160" w:line="276"/>
      </w:pPr>
      <w:r>
        <w:t xml:space="preserve">For the top 10 client + carrier combinations by volume: Total, To Do, Pending, In Progress, and Closed counts side by side — useful for spotting a combination where items pile up in one status (e.g., a lot of Pending, meaning you're waiting on the other side).</w:t>
      </w:r>
    </w:p>
    <w:p>
      <w:pPr>
        <w:pStyle w:val="Heading1"/>
        <w:pBdr>
          <w:bottom w:val="single" w:color="2E74B5" w:sz="8" w:space="4"/>
        </w:pBdr>
        <w:spacing w:after="160" w:before="360"/>
      </w:pPr>
      <w:r>
        <w:rPr>
          <w:b/>
          <w:bCs/>
          <w:color w:val="1F3864"/>
        </w:rPr>
        <w:t xml:space="preserve">3. Training</w:t>
      </w:r>
    </w:p>
    <w:p>
      <w:pPr>
        <w:spacing w:after="160" w:line="276"/>
      </w:pPr>
      <w:r>
        <w:t xml:space="preserve">Role-based, task-based guidance — what to actually do with this module day to day.</w:t>
      </w:r>
    </w:p>
    <w:p>
      <w:pPr>
        <w:pStyle w:val="Heading2"/>
        <w:spacing w:after="120" w:before="280"/>
      </w:pPr>
      <w:r>
        <w:rPr>
          <w:b/>
          <w:bCs/>
          <w:color w:val="2E74B5"/>
        </w:rPr>
        <w:t xml:space="preserve">3.1 For LDAs (Primary &amp; Secondary Owners)</w:t>
      </w:r>
    </w:p>
    <w:p>
      <w:pPr>
        <w:pStyle w:val="ListParagraph"/>
        <w:numPr>
          <w:ilvl w:val="0"/>
          <w:numId w:val="3"/>
        </w:numPr>
        <w:spacing w:after="100" w:line="276"/>
      </w:pPr>
      <w:r>
        <w:rPr>
          <w:b/>
          <w:bCs/>
        </w:rPr>
        <w:t xml:space="preserve">Log the item right after the call. </w:t>
      </w:r>
      <w:r>
        <w:t xml:space="preserve">Use </w:t>
      </w:r>
      <w:r>
        <w:rPr>
          <w:b/>
          <w:bCs/>
        </w:rPr>
        <w:t xml:space="preserve">Audit Ops Forms → Recon Call Action Register</w:t>
      </w:r>
      <w:r>
        <w:t xml:space="preserve"> in the Chrome extension (section 2.1) while the details are fresh — the Recon Call Date you enter is what starts the 7-day SLA clock.</w:t>
      </w:r>
    </w:p>
    <w:p>
      <w:pPr>
        <w:pStyle w:val="ListParagraph"/>
        <w:numPr>
          <w:ilvl w:val="0"/>
          <w:numId w:val="3"/>
        </w:numPr>
        <w:spacing w:after="100" w:line="276"/>
      </w:pPr>
      <w:r>
        <w:rPr>
          <w:b/>
          <w:bCs/>
        </w:rPr>
        <w:t xml:space="preserve">Find your open items. </w:t>
      </w:r>
      <w:r>
        <w:t xml:space="preserve">Go to </w:t>
      </w:r>
      <w:r>
        <w:rPr>
          <w:rFonts w:ascii="Consolas" w:cs="Consolas" w:eastAsia="Consolas" w:hAnsi="Consolas"/>
          <w:b/>
          <w:bCs/>
          <w:color w:val="1F3864"/>
          <w:sz w:val="20"/>
          <w:szCs w:val="20"/>
        </w:rPr>
        <w:t xml:space="preserve">/recon-ticket</w:t>
      </w:r>
      <w:r>
        <w:t xml:space="preserve">, filter Name to yourself, and optionally set Status to something other than Closed.</w:t>
      </w:r>
    </w:p>
    <w:p>
      <w:pPr>
        <w:pStyle w:val="ListParagraph"/>
        <w:numPr>
          <w:ilvl w:val="0"/>
          <w:numId w:val="3"/>
        </w:numPr>
        <w:spacing w:after="100" w:line="276"/>
      </w:pPr>
      <w:r>
        <w:rPr>
          <w:b/>
          <w:bCs/>
        </w:rPr>
        <w:t xml:space="preserve">Work the item and keep Status current. </w:t>
      </w:r>
      <w:r>
        <w:t xml:space="preserve">Move a new item to </w:t>
      </w:r>
      <w:r>
        <w:rPr>
          <w:rFonts w:ascii="Consolas" w:cs="Consolas" w:eastAsia="Consolas" w:hAnsi="Consolas"/>
          <w:b/>
          <w:bCs/>
          <w:color w:val="1F3864"/>
          <w:sz w:val="20"/>
          <w:szCs w:val="20"/>
        </w:rPr>
        <w:t xml:space="preserve">In Progress</w:t>
      </w:r>
      <w:r>
        <w:t xml:space="preserve"> once you start it, and to </w:t>
      </w:r>
      <w:r>
        <w:rPr>
          <w:rFonts w:ascii="Consolas" w:cs="Consolas" w:eastAsia="Consolas" w:hAnsi="Consolas"/>
          <w:b/>
          <w:bCs/>
          <w:color w:val="1F3864"/>
          <w:sz w:val="20"/>
          <w:szCs w:val="20"/>
        </w:rPr>
        <w:t xml:space="preserve">Pending</w:t>
      </w:r>
      <w:r>
        <w:t xml:space="preserve"> if you're waiting on the client, carrier, or a Jira ticket. Each move is logged automatically — you don't need to comment separately just to record it.</w:t>
      </w:r>
    </w:p>
    <w:p>
      <w:pPr>
        <w:pStyle w:val="ListParagraph"/>
        <w:numPr>
          <w:ilvl w:val="0"/>
          <w:numId w:val="3"/>
        </w:numPr>
        <w:spacing w:after="100" w:line="276"/>
      </w:pPr>
      <w:r>
        <w:rPr>
          <w:b/>
          <w:bCs/>
        </w:rPr>
        <w:t xml:space="preserve">Leave context, not just status. </w:t>
      </w:r>
      <w:r>
        <w:t xml:space="preserve">Use Comments to record what you found or what the other party said — the next person to open the ticket (your supervisor, an SME, whoever picks it up if you're out) should be able to follow the story from the comment log alone.</w:t>
      </w:r>
    </w:p>
    <w:p>
      <w:pPr>
        <w:pStyle w:val="ListParagraph"/>
        <w:numPr>
          <w:ilvl w:val="0"/>
          <w:numId w:val="3"/>
        </w:numPr>
        <w:spacing w:after="100" w:line="276"/>
      </w:pPr>
      <w:r>
        <w:rPr>
          <w:b/>
          <w:bCs/>
        </w:rPr>
        <w:t xml:space="preserve">Know your clock. </w:t>
      </w:r>
      <w:r>
        <w:t xml:space="preserve">The SLA is 7 days from the Recon Call Date. Check </w:t>
      </w:r>
      <w:r>
        <w:rPr>
          <w:rFonts w:ascii="Consolas" w:cs="Consolas" w:eastAsia="Consolas" w:hAnsi="Consolas"/>
          <w:b/>
          <w:bCs/>
          <w:color w:val="1F3864"/>
          <w:sz w:val="20"/>
          <w:szCs w:val="20"/>
        </w:rPr>
        <w:t xml:space="preserve">/recon-overdue</w:t>
      </w:r>
      <w:r>
        <w:t xml:space="preserve"> (filtered to your name) weekly so nothing quietly crosses 7 days, let alone 15.</w:t>
      </w:r>
    </w:p>
    <w:p>
      <w:pPr>
        <w:pStyle w:val="ListParagraph"/>
        <w:numPr>
          <w:ilvl w:val="0"/>
          <w:numId w:val="3"/>
        </w:numPr>
        <w:spacing w:after="100" w:line="276"/>
      </w:pPr>
      <w:r>
        <w:rPr>
          <w:b/>
          <w:bCs/>
        </w:rPr>
        <w:t xml:space="preserve">Close it out. </w:t>
      </w:r>
      <w:r>
        <w:t xml:space="preserve">Once resolved, set Status to </w:t>
      </w:r>
      <w:r>
        <w:rPr>
          <w:rFonts w:ascii="Consolas" w:cs="Consolas" w:eastAsia="Consolas" w:hAnsi="Consolas"/>
          <w:b/>
          <w:bCs/>
          <w:color w:val="1F3864"/>
          <w:sz w:val="20"/>
          <w:szCs w:val="20"/>
        </w:rPr>
        <w:t xml:space="preserve">Closed</w:t>
      </w:r>
      <w:r>
        <w:t xml:space="preserve">. Closed items drop out of the Overdue report and the Aging buckets automatically.</w:t>
      </w:r>
    </w:p>
    <w:p>
      <w:pPr>
        <w:pStyle w:val="Heading2"/>
        <w:spacing w:after="120" w:before="280"/>
      </w:pPr>
      <w:r>
        <w:rPr>
          <w:b/>
          <w:bCs/>
          <w:color w:val="2E74B5"/>
        </w:rPr>
        <w:t xml:space="preserve">3.2 For Supervisors &amp; SMEs</w:t>
      </w:r>
    </w:p>
    <w:p>
      <w:pPr>
        <w:pStyle w:val="ListParagraph"/>
        <w:numPr>
          <w:ilvl w:val="0"/>
          <w:numId w:val="4"/>
        </w:numPr>
        <w:spacing w:after="100" w:line="276"/>
      </w:pPr>
      <w:r>
        <w:rPr>
          <w:b/>
          <w:bCs/>
        </w:rPr>
        <w:t xml:space="preserve">Run the weekly sweep. </w:t>
      </w:r>
      <w:r>
        <w:t xml:space="preserve">Open </w:t>
      </w:r>
      <w:r>
        <w:rPr>
          <w:rFonts w:ascii="Consolas" w:cs="Consolas" w:eastAsia="Consolas" w:hAnsi="Consolas"/>
          <w:b/>
          <w:bCs/>
          <w:color w:val="1F3864"/>
          <w:sz w:val="20"/>
          <w:szCs w:val="20"/>
        </w:rPr>
        <w:t xml:space="preserve">/recon-overdue</w:t>
      </w:r>
      <w:r>
        <w:t xml:space="preserve">, leave Min days open at 7, and work down the list — anything red (15+ days) first.</w:t>
      </w:r>
    </w:p>
    <w:p>
      <w:pPr>
        <w:pStyle w:val="ListParagraph"/>
        <w:numPr>
          <w:ilvl w:val="0"/>
          <w:numId w:val="4"/>
        </w:numPr>
        <w:spacing w:after="100" w:line="276"/>
      </w:pPr>
      <w:r>
        <w:rPr>
          <w:b/>
          <w:bCs/>
        </w:rPr>
        <w:t xml:space="preserve">Reassign when needed. </w:t>
      </w:r>
      <w:r>
        <w:t xml:space="preserve">If an LDA is out or overloaded, open the ticket and use </w:t>
      </w:r>
      <w:r>
        <w:rPr>
          <w:b/>
          <w:bCs/>
        </w:rPr>
        <w:t xml:space="preserve">Options → Assign</w:t>
      </w:r>
      <w:r>
        <w:t xml:space="preserve"> to set a Secondary Owner. The original LDA (Primary Owner) is unchanged, so ownership history stays intact.</w:t>
      </w:r>
    </w:p>
    <w:p>
      <w:pPr>
        <w:pStyle w:val="ListParagraph"/>
        <w:numPr>
          <w:ilvl w:val="0"/>
          <w:numId w:val="4"/>
        </w:numPr>
        <w:spacing w:after="100" w:line="276"/>
      </w:pPr>
      <w:r>
        <w:rPr>
          <w:b/>
          <w:bCs/>
        </w:rPr>
        <w:t xml:space="preserve">Watch team health, not just individual tickets. </w:t>
      </w:r>
      <w:r>
        <w:t xml:space="preserve">On </w:t>
      </w:r>
      <w:r>
        <w:rPr>
          <w:rFonts w:ascii="Consolas" w:cs="Consolas" w:eastAsia="Consolas" w:hAnsi="Consolas"/>
          <w:b/>
          <w:bCs/>
          <w:color w:val="1F3864"/>
          <w:sz w:val="20"/>
          <w:szCs w:val="20"/>
        </w:rPr>
        <w:t xml:space="preserve">/dashboard-recon</w:t>
      </w:r>
      <w:r>
        <w:t xml:space="preserve">, set Scope to </w:t>
      </w:r>
      <w:r>
        <w:rPr>
          <w:b/>
          <w:bCs/>
        </w:rPr>
        <w:t xml:space="preserve">My Team</w:t>
      </w:r>
      <w:r>
        <w:t xml:space="preserve"> and check the Aging buckets — a shrinking 0–3/4–7 split relative to 8–14/15+ means the backlog is getting older, not just bigger.</w:t>
      </w:r>
    </w:p>
    <w:p>
      <w:pPr>
        <w:pStyle w:val="ListParagraph"/>
        <w:numPr>
          <w:ilvl w:val="0"/>
          <w:numId w:val="4"/>
        </w:numPr>
        <w:spacing w:after="100" w:line="276"/>
      </w:pPr>
      <w:r>
        <w:rPr>
          <w:b/>
          <w:bCs/>
        </w:rPr>
        <w:t xml:space="preserve">Pull data for client/carrier reviews. </w:t>
      </w:r>
      <w:r>
        <w:t xml:space="preserve">On </w:t>
      </w:r>
      <w:r>
        <w:rPr>
          <w:rFonts w:ascii="Consolas" w:cs="Consolas" w:eastAsia="Consolas" w:hAnsi="Consolas"/>
          <w:b/>
          <w:bCs/>
          <w:color w:val="1F3864"/>
          <w:sz w:val="20"/>
          <w:szCs w:val="20"/>
        </w:rPr>
        <w:t xml:space="preserve">/recon-ticket</w:t>
      </w:r>
      <w:r>
        <w:t xml:space="preserve">, filter to the specific Client Code (and a Date Range if the meeting only covers a period), then Export to Excel — the download is already scoped, no manual cleanup needed.</w:t>
      </w:r>
    </w:p>
    <w:p>
      <w:pPr>
        <w:pStyle w:val="Heading2"/>
        <w:spacing w:after="120" w:before="280"/>
      </w:pPr>
      <w:r>
        <w:rPr>
          <w:b/>
          <w:bCs/>
          <w:color w:val="2E74B5"/>
        </w:rPr>
        <w:t xml:space="preserve">3.3 For Managers &amp; Admins</w:t>
      </w:r>
    </w:p>
    <w:p>
      <w:pPr>
        <w:pStyle w:val="ListParagraph"/>
        <w:numPr>
          <w:ilvl w:val="0"/>
          <w:numId w:val="5"/>
        </w:numPr>
        <w:spacing w:after="100" w:line="276"/>
      </w:pPr>
      <w:r>
        <w:rPr>
          <w:b/>
          <w:bCs/>
        </w:rPr>
        <w:t xml:space="preserve">Use Scope: All Tickets </w:t>
      </w:r>
      <w:r>
        <w:t xml:space="preserve">on the Recon Dashboard for an org-wide read, then switch client/carrier charts and the Top 10 table to find where volume is concentrated.</w:t>
      </w:r>
    </w:p>
    <w:p>
      <w:pPr>
        <w:pStyle w:val="ListParagraph"/>
        <w:numPr>
          <w:ilvl w:val="0"/>
          <w:numId w:val="5"/>
        </w:numPr>
        <w:spacing w:after="100" w:line="276"/>
      </w:pPr>
      <w:r>
        <w:rPr>
          <w:b/>
          <w:bCs/>
        </w:rPr>
        <w:t xml:space="preserve">Treat the 15+ day bucket as a process signal, </w:t>
      </w:r>
      <w:r>
        <w:t xml:space="preserve">not just a list of late items — a bucket that keeps growing week over week usually means an assignment, staffing, or external-dependency problem, not that individuals are behind.</w:t>
      </w:r>
    </w:p>
    <w:p>
      <w:pPr>
        <w:pStyle w:val="ListParagraph"/>
        <w:numPr>
          <w:ilvl w:val="0"/>
          <w:numId w:val="5"/>
        </w:numPr>
        <w:spacing w:after="100" w:line="276"/>
      </w:pPr>
      <w:r>
        <w:rPr>
          <w:b/>
          <w:bCs/>
        </w:rPr>
        <w:t xml:space="preserve">Cross-check Pending volume </w:t>
      </w:r>
      <w:r>
        <w:t xml:space="preserve">in the Top 10 Breakdown table against Closed volume for the same client/carrier — persistently high Pending with low Closed usually points to a slow external party (client, carrier, or Jira/engineering) rather than an internal delay.</w:t>
      </w:r>
    </w:p>
    <w:p>
      <w:pPr>
        <w:pStyle w:val="Heading2"/>
        <w:spacing w:after="120" w:before="280"/>
      </w:pPr>
      <w:r>
        <w:rPr>
          <w:b/>
          <w:bCs/>
          <w:color w:val="2E74B5"/>
        </w:rPr>
        <w:t xml:space="preserve">3.4 Common workflows, step by step</w:t>
      </w:r>
    </w:p>
    <w:p>
      <w:pPr>
        <w:pStyle w:val="Heading3"/>
        <w:spacing w:after="100" w:before="200"/>
      </w:pPr>
      <w:r>
        <w:rPr>
          <w:b/>
          <w:bCs/>
          <w:color w:val="1F3864"/>
        </w:rPr>
        <w:t xml:space="preserve">Workflow A — Resolve an item end-to-end</w:t>
      </w:r>
    </w:p>
    <w:p>
      <w:pPr>
        <w:pStyle w:val="ListParagraph"/>
        <w:numPr>
          <w:ilvl w:val="0"/>
          <w:numId w:val="6"/>
        </w:numPr>
        <w:spacing w:after="100" w:line="276"/>
      </w:pPr>
      <w:r>
        <w:t xml:space="preserve">Open the ticket from the list, the Overdue report, or a dashboard drill-down.</w:t>
      </w:r>
    </w:p>
    <w:p>
      <w:pPr>
        <w:pStyle w:val="ListParagraph"/>
        <w:numPr>
          <w:ilvl w:val="0"/>
          <w:numId w:val="6"/>
        </w:numPr>
        <w:spacing w:after="100" w:line="276"/>
      </w:pPr>
      <w:r>
        <w:t xml:space="preserve">Read the Action Item Summary and Action Item Details cards.</w:t>
      </w:r>
    </w:p>
    <w:p>
      <w:pPr>
        <w:pStyle w:val="ListParagraph"/>
        <w:numPr>
          <w:ilvl w:val="0"/>
          <w:numId w:val="6"/>
        </w:numPr>
        <w:spacing w:after="100" w:line="276"/>
      </w:pPr>
      <w:r>
        <w:t xml:space="preserve">Set Status to In Progress.</w:t>
      </w:r>
    </w:p>
    <w:p>
      <w:pPr>
        <w:pStyle w:val="ListParagraph"/>
        <w:numPr>
          <w:ilvl w:val="0"/>
          <w:numId w:val="6"/>
        </w:numPr>
        <w:spacing w:after="100" w:line="276"/>
      </w:pPr>
      <w:r>
        <w:t xml:space="preserve">Do the work; add a comment describing what you did or found.</w:t>
      </w:r>
    </w:p>
    <w:p>
      <w:pPr>
        <w:pStyle w:val="ListParagraph"/>
        <w:numPr>
          <w:ilvl w:val="0"/>
          <w:numId w:val="6"/>
        </w:numPr>
        <w:spacing w:after="100" w:line="276"/>
      </w:pPr>
      <w:r>
        <w:t xml:space="preserve">If you're waiting on someone else, set Status to Pending and note who/what you're waiting on.</w:t>
      </w:r>
    </w:p>
    <w:p>
      <w:pPr>
        <w:pStyle w:val="ListParagraph"/>
        <w:numPr>
          <w:ilvl w:val="0"/>
          <w:numId w:val="6"/>
        </w:numPr>
        <w:spacing w:after="100" w:line="276"/>
      </w:pPr>
      <w:r>
        <w:t xml:space="preserve">Once resolved, add a final comment and set Status to Closed.</w:t>
      </w:r>
    </w:p>
    <w:p>
      <w:pPr>
        <w:pStyle w:val="Heading3"/>
        <w:spacing w:after="100" w:before="200"/>
      </w:pPr>
      <w:r>
        <w:rPr>
          <w:b/>
          <w:bCs/>
          <w:color w:val="1F3864"/>
        </w:rPr>
        <w:t xml:space="preserve">Workflow B — Reassign an overdue item</w:t>
      </w:r>
    </w:p>
    <w:p>
      <w:pPr>
        <w:pStyle w:val="ListParagraph"/>
        <w:numPr>
          <w:ilvl w:val="0"/>
          <w:numId w:val="7"/>
        </w:numPr>
        <w:spacing w:after="100" w:line="276"/>
      </w:pPr>
      <w:r>
        <w:t xml:space="preserve">Find the item on /recon-overdue (or search by name on /recon-ticket).</w:t>
      </w:r>
    </w:p>
    <w:p>
      <w:pPr>
        <w:pStyle w:val="ListParagraph"/>
        <w:numPr>
          <w:ilvl w:val="0"/>
          <w:numId w:val="7"/>
        </w:numPr>
        <w:spacing w:after="100" w:line="276"/>
      </w:pPr>
      <w:r>
        <w:t xml:space="preserve">Open the ticket, click Options.</w:t>
      </w:r>
    </w:p>
    <w:p>
      <w:pPr>
        <w:pStyle w:val="ListParagraph"/>
        <w:numPr>
          <w:ilvl w:val="0"/>
          <w:numId w:val="7"/>
        </w:numPr>
        <w:spacing w:after="100" w:line="276"/>
      </w:pPr>
      <w:r>
        <w:t xml:space="preserve">Choose the new owner from the Name dropdown and click Update.</w:t>
      </w:r>
    </w:p>
    <w:p>
      <w:pPr>
        <w:pStyle w:val="ListParagraph"/>
        <w:numPr>
          <w:ilvl w:val="0"/>
          <w:numId w:val="7"/>
        </w:numPr>
        <w:spacing w:after="100" w:line="276"/>
      </w:pPr>
      <w:r>
        <w:t xml:space="preserve">Add a comment noting the reassignment and why, so the history is clear to anyone reviewing later.</w:t>
      </w:r>
    </w:p>
    <w:p>
      <w:pPr>
        <w:pStyle w:val="Heading3"/>
        <w:spacing w:after="100" w:before="200"/>
      </w:pPr>
      <w:r>
        <w:rPr>
          <w:b/>
          <w:bCs/>
          <w:color w:val="1F3864"/>
        </w:rPr>
        <w:t xml:space="preserve">Workflow C — Export a client's open items for a review call</w:t>
      </w:r>
    </w:p>
    <w:p>
      <w:pPr>
        <w:pStyle w:val="ListParagraph"/>
        <w:numPr>
          <w:ilvl w:val="0"/>
          <w:numId w:val="8"/>
        </w:numPr>
        <w:spacing w:after="100" w:line="276"/>
      </w:pPr>
      <w:r>
        <w:t xml:space="preserve">On /recon-ticket, set Client Code to the client in question.</w:t>
      </w:r>
    </w:p>
    <w:p>
      <w:pPr>
        <w:pStyle w:val="ListParagraph"/>
        <w:numPr>
          <w:ilvl w:val="0"/>
          <w:numId w:val="8"/>
        </w:numPr>
        <w:spacing w:after="100" w:line="276"/>
      </w:pPr>
      <w:r>
        <w:t xml:space="preserve">Optionally set a Date Range (Recon Date) to match the review period, and Status if you only want open items.</w:t>
      </w:r>
    </w:p>
    <w:p>
      <w:pPr>
        <w:pStyle w:val="ListParagraph"/>
        <w:numPr>
          <w:ilvl w:val="0"/>
          <w:numId w:val="8"/>
        </w:numPr>
        <w:spacing w:after="100" w:line="276"/>
      </w:pPr>
      <w:r>
        <w:t xml:space="preserve">Click Export to Excel — the download matches exactly what's on screen.</w:t>
      </w:r>
    </w:p>
    <w:p>
      <w:pPr>
        <w:pStyle w:val="Heading3"/>
        <w:spacing w:after="100" w:before="200"/>
      </w:pPr>
      <w:r>
        <w:rPr>
          <w:b/>
          <w:bCs/>
          <w:color w:val="1F3864"/>
        </w:rPr>
        <w:t xml:space="preserve">Workflow D — Check whether your team is meeting the 7-day SLA</w:t>
      </w:r>
    </w:p>
    <w:p>
      <w:pPr>
        <w:pStyle w:val="ListParagraph"/>
        <w:numPr>
          <w:ilvl w:val="0"/>
          <w:numId w:val="9"/>
        </w:numPr>
        <w:spacing w:after="100" w:line="276"/>
      </w:pPr>
      <w:r>
        <w:t xml:space="preserve">Go to /dashboard-recon, set Scope to My Team.</w:t>
      </w:r>
    </w:p>
    <w:p>
      <w:pPr>
        <w:pStyle w:val="ListParagraph"/>
        <w:numPr>
          <w:ilvl w:val="0"/>
          <w:numId w:val="9"/>
        </w:numPr>
        <w:spacing w:after="100" w:line="276"/>
      </w:pPr>
      <w:r>
        <w:t xml:space="preserve">Check the Overdue (7+ days) count in the Aging card.</w:t>
      </w:r>
    </w:p>
    <w:p>
      <w:pPr>
        <w:pStyle w:val="ListParagraph"/>
        <w:numPr>
          <w:ilvl w:val="0"/>
          <w:numId w:val="9"/>
        </w:numPr>
        <w:spacing w:after="100" w:line="276"/>
      </w:pPr>
      <w:r>
        <w:t xml:space="preserve">For the names behind that number, open /recon-overdue and filter by LDA Name to see the specific tickets.</w:t>
      </w:r>
    </w:p>
    <w:p>
      <w:pPr>
        <w:pStyle w:val="Heading2"/>
        <w:spacing w:after="120" w:before="280"/>
      </w:pPr>
      <w:r>
        <w:rPr>
          <w:b/>
          <w:bCs/>
          <w:color w:val="2E74B5"/>
        </w:rPr>
        <w:t xml:space="preserve">3.5 Frequently asked questions</w:t>
      </w:r>
    </w:p>
    <w:p>
      <w:pPr>
        <w:pStyle w:val="ListParagraph"/>
        <w:numPr>
          <w:ilvl w:val="0"/>
          <w:numId w:val="2"/>
        </w:numPr>
        <w:spacing w:after="100" w:line="276"/>
      </w:pPr>
      <w:r>
        <w:rPr>
          <w:b/>
          <w:bCs/>
        </w:rPr>
        <w:t xml:space="preserve">What exactly counts as “overdue”? </w:t>
      </w:r>
      <w:r>
        <w:t xml:space="preserve">A non-Closed item whose Recon Call Date is 7 or more days ago.</w:t>
      </w:r>
    </w:p>
    <w:p>
      <w:pPr>
        <w:pStyle w:val="ListParagraph"/>
        <w:numPr>
          <w:ilvl w:val="0"/>
          <w:numId w:val="2"/>
        </w:numPr>
        <w:spacing w:after="100" w:line="276"/>
      </w:pPr>
      <w:r>
        <w:rPr>
          <w:b/>
          <w:bCs/>
        </w:rPr>
        <w:t xml:space="preserve">Why did a comment appear that I didn't write? </w:t>
      </w:r>
      <w:r>
        <w:t xml:space="preserve">Every Status change auto-logs a system comment (“Status changed from X to Y”) — that's expected, not an error.</w:t>
      </w:r>
    </w:p>
    <w:p>
      <w:pPr>
        <w:pStyle w:val="ListParagraph"/>
        <w:numPr>
          <w:ilvl w:val="0"/>
          <w:numId w:val="2"/>
        </w:numPr>
        <w:spacing w:after="100" w:line="276"/>
      </w:pPr>
      <w:r>
        <w:rPr>
          <w:b/>
          <w:bCs/>
        </w:rPr>
        <w:t xml:space="preserve">Can I see other LDAs' items? </w:t>
      </w:r>
      <w:r>
        <w:t xml:space="preserve">Only if you're a Supervisor, SME, Manager, or Admin. LDAs see only items where they are the Primary or Secondary Owner.</w:t>
      </w:r>
    </w:p>
    <w:p>
      <w:pPr>
        <w:pStyle w:val="ListParagraph"/>
        <w:numPr>
          <w:ilvl w:val="0"/>
          <w:numId w:val="2"/>
        </w:numPr>
        <w:spacing w:after="100" w:line="276"/>
      </w:pPr>
      <w:r>
        <w:rPr>
          <w:b/>
          <w:bCs/>
        </w:rPr>
        <w:t xml:space="preserve">Why doesn't the Aging card count today's items yet? </w:t>
      </w:r>
      <w:r>
        <w:t xml:space="preserve">It reports aging as of yesterday on purpose, so an item logged today isn't misleadingly shown as already “aging.”</w:t>
      </w:r>
    </w:p>
    <w:p>
      <w:pPr>
        <w:pStyle w:val="ListParagraph"/>
        <w:numPr>
          <w:ilvl w:val="0"/>
          <w:numId w:val="2"/>
        </w:numPr>
        <w:spacing w:after="100" w:line="276"/>
      </w:pPr>
      <w:r>
        <w:rPr>
          <w:b/>
          <w:bCs/>
        </w:rPr>
        <w:t xml:space="preserve">What's the difference between Primary Owner and Secondary Owner? </w:t>
      </w:r>
      <w:r>
        <w:t xml:space="preserve">Primary Owner (LDA Email) is who the item was originally logged against at intake. Secondary Owner (Assigned To) is whoever it has since been reassigned to via Options → Assign — it's blank until someone does that.</w:t>
      </w:r>
    </w:p>
    <w:p>
      <w:pPr>
        <w:pStyle w:val="ListParagraph"/>
        <w:numPr>
          <w:ilvl w:val="0"/>
          <w:numId w:val="2"/>
        </w:numPr>
        <w:spacing w:after="100" w:line="276"/>
      </w:pPr>
      <w:r>
        <w:rPr>
          <w:b/>
          <w:bCs/>
        </w:rPr>
        <w:t xml:space="preserve">Does exporting ever include more than what I see on screen? </w:t>
      </w:r>
      <w:r>
        <w:t xml:space="preserve">No — the export applies the same filters currently set on the list and uses the same columns.</w:t>
      </w:r>
    </w:p>
    <w:p>
      <w:pPr>
        <w:pStyle w:val="Heading2"/>
        <w:spacing w:after="120" w:before="280"/>
      </w:pPr>
      <w:r>
        <w:rPr>
          <w:b/>
          <w:bCs/>
          <w:color w:val="2E74B5"/>
        </w:rPr>
        <w:t xml:space="preserve">3.6 Quick reference — status meanings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rPr>
          <w:cantSplit/>
          <w:tblHeader/>
        </w:trPr>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Status</w:t>
            </w:r>
          </w:p>
        </w:tc>
        <w:tc>
          <w:tcPr>
            <w:tcW w:type="dxa" w:w="3800"/>
            <w:shd w:fill="1F3864" w:val="clear"/>
            <w:tcMar>
              <w:top w:type="dxa" w:w="80"/>
              <w:left w:type="dxa" w:w="120"/>
              <w:bottom w:type="dxa" w:w="80"/>
              <w:right w:type="dxa" w:w="120"/>
            </w:tcMar>
            <w:vAlign w:val="center"/>
          </w:tcPr>
          <w:p>
            <w:pPr>
              <w:jc w:val="left"/>
            </w:pPr>
            <w:r>
              <w:rPr>
                <w:b/>
                <w:bCs/>
                <w:color w:val="FFFFFF"/>
                <w:sz w:val="20"/>
                <w:szCs w:val="20"/>
              </w:rPr>
              <w:t xml:space="preserve">Meaning</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Typical next action</w:t>
            </w:r>
          </w:p>
        </w:tc>
      </w:tr>
      <w:tr>
        <w:trPr>
          <w:cantSplit/>
        </w:trP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To Do</w:t>
            </w:r>
          </w:p>
        </w:tc>
        <w:tc>
          <w:tcPr>
            <w:tcW w:type="dxa" w:w="3800"/>
            <w:tcMar>
              <w:top w:type="dxa" w:w="80"/>
              <w:left w:type="dxa" w:w="120"/>
              <w:bottom w:type="dxa" w:w="80"/>
              <w:right w:type="dxa" w:w="120"/>
            </w:tcMar>
            <w:vAlign w:val="center"/>
          </w:tcPr>
          <w:p>
            <w:pPr>
              <w:jc w:val="left"/>
            </w:pPr>
            <w:r>
              <w:rPr>
                <w:b w:val="false"/>
                <w:bCs w:val="false"/>
                <w:color w:val="000000"/>
                <w:sz w:val="20"/>
                <w:szCs w:val="20"/>
              </w:rPr>
              <w:t xml:space="preserve">Logged, not yet started</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Assign / begin work</w:t>
            </w:r>
          </w:p>
        </w:tc>
      </w:tr>
      <w:tr>
        <w:trPr>
          <w:cantSplit/>
        </w:trPr>
        <w:tc>
          <w:tcPr>
            <w:tcW w:type="dxa" w:w="18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In Progress</w:t>
            </w:r>
          </w:p>
        </w:tc>
        <w:tc>
          <w:tcPr>
            <w:tcW w:type="dxa" w:w="38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Actively being worked</w:t>
            </w:r>
          </w:p>
        </w:tc>
        <w:tc>
          <w:tcPr>
            <w:tcW w:type="dxa" w:w="3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Continue; comment on progress</w:t>
            </w:r>
          </w:p>
        </w:tc>
      </w:tr>
      <w:tr>
        <w:trPr>
          <w:cantSplit/>
        </w:trP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Pending</w:t>
            </w:r>
          </w:p>
        </w:tc>
        <w:tc>
          <w:tcPr>
            <w:tcW w:type="dxa" w:w="3800"/>
            <w:tcMar>
              <w:top w:type="dxa" w:w="80"/>
              <w:left w:type="dxa" w:w="120"/>
              <w:bottom w:type="dxa" w:w="80"/>
              <w:right w:type="dxa" w:w="120"/>
            </w:tcMar>
            <w:vAlign w:val="center"/>
          </w:tcPr>
          <w:p>
            <w:pPr>
              <w:jc w:val="left"/>
            </w:pPr>
            <w:r>
              <w:rPr>
                <w:b w:val="false"/>
                <w:bCs w:val="false"/>
                <w:color w:val="000000"/>
                <w:sz w:val="20"/>
                <w:szCs w:val="20"/>
              </w:rPr>
              <w:t xml:space="preserve">Waiting on client, carrier, or Jira/engineering</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Follow up with the external party</w:t>
            </w:r>
          </w:p>
        </w:tc>
      </w:tr>
      <w:tr>
        <w:trPr>
          <w:cantSplit/>
        </w:trPr>
        <w:tc>
          <w:tcPr>
            <w:tcW w:type="dxa" w:w="18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Closed</w:t>
            </w:r>
          </w:p>
        </w:tc>
        <w:tc>
          <w:tcPr>
            <w:tcW w:type="dxa" w:w="38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Resolved</w:t>
            </w:r>
          </w:p>
        </w:tc>
        <w:tc>
          <w:tcPr>
            <w:tcW w:type="dxa" w:w="3400"/>
            <w:shd w:fill="F2F6FB" w:val="clear"/>
            <w:tcMar>
              <w:top w:type="dxa" w:w="80"/>
              <w:left w:type="dxa" w:w="120"/>
              <w:bottom w:type="dxa" w:w="80"/>
              <w:right w:type="dxa" w:w="120"/>
            </w:tcMar>
            <w:vAlign w:val="center"/>
          </w:tcPr>
          <w:p>
            <w:pPr>
              <w:jc w:val="left"/>
            </w:pPr>
            <w:r>
              <w:rPr>
                <w:b w:val="false"/>
                <w:bCs w:val="false"/>
                <w:color w:val="000000"/>
                <w:sz w:val="20"/>
                <w:szCs w:val="20"/>
              </w:rPr>
              <w:t xml:space="preserve">No action — drops out of Overdue/Aging</w:t>
            </w:r>
          </w:p>
        </w:tc>
      </w:tr>
    </w:tbl>
    <w:p>
      <w:r>
        <w:br w:type="page"/>
      </w:r>
    </w:p>
    <w:p>
      <w:pPr>
        <w:pStyle w:val="Heading1"/>
        <w:pBdr>
          <w:bottom w:val="single" w:color="2E74B5" w:sz="8" w:space="4"/>
        </w:pBdr>
        <w:spacing w:after="160" w:before="360"/>
      </w:pPr>
      <w:r>
        <w:rPr>
          <w:b/>
          <w:bCs/>
          <w:color w:val="1F3864"/>
        </w:rPr>
        <w:t xml:space="preserve">4. Getting Help</w:t>
      </w:r>
    </w:p>
    <w:p>
      <w:pPr>
        <w:spacing w:after="160" w:line="276"/>
      </w:pPr>
      <w:r>
        <w:t xml:space="preserve">If a page doesn't match this guide, or a filter/button isn't behaving as described, check with your administrator — access is role-based, so what you see is expected to differ from a Supervisor's or Manager's view.</w:t>
      </w:r>
    </w:p>
    <w:p>
      <w:pPr>
        <w:spacing w:after="160" w:line="276"/>
      </w:pPr>
      <w:r>
        <w:rPr>
          <w:b/>
          <w:bCs/>
        </w:rPr>
        <w:t xml:space="preserve">Screens covered in this guide: </w:t>
      </w:r>
      <w:r>
        <w:t xml:space="preserve">the Chrome extension's Recon Call Action Register form, /recon-ticket, /recon-ticket-view/{Submission ID}, /recon-overdue, /dashboard-recon.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abstractNum w:abstractNumId="9"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 Call Action Register — Walkthrough &amp; Training Guide</dc:title>
  <dc:creator>Trax Audit</dc:creator>
  <cp:lastModifiedBy>Un-named</cp:lastModifiedBy>
  <cp:revision>1</cp:revision>
  <dcterms:created xsi:type="dcterms:W3CDTF">2026-07-20T20:32:16.208Z</dcterms:created>
  <dcterms:modified xsi:type="dcterms:W3CDTF">2026-07-20T20:32:16.209Z</dcterms:modified>
</cp:coreProperties>
</file>

<file path=docProps/custom.xml><?xml version="1.0" encoding="utf-8"?>
<Properties xmlns="http://schemas.openxmlformats.org/officeDocument/2006/custom-properties" xmlns:vt="http://schemas.openxmlformats.org/officeDocument/2006/docPropsVTypes"/>
</file>