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SPREEAI Always On Partner Integration Overview</w:t>
      </w:r>
    </w:p>
    <w:p>
      <w:pPr>
        <w:pStyle w:val="Subtitle"/>
      </w:pPr>
      <w:r>
        <w:t>A proposed extension of your existing commerce experience</w:t>
      </w:r>
    </w:p>
    <w:p>
      <w:r>
        <w:t>Always On brings SPREEAI into the shopping journey your customers already know. After a shopper opts in and creates a profile through your account experience, eligible visualization, fit and styling features can appear as they browse, compare and choose. Your brand keeps control of the customer relationship and the storefront.</w:t>
      </w:r>
    </w:p>
    <w:p>
      <w:pPr>
        <w:pStyle w:val="Heading1"/>
      </w:pPr>
      <w:r>
        <w:t>What this means for an existing partner</w:t>
      </w:r>
    </w:p>
    <w:p>
      <w:r>
        <w:t>We begin with your current SDK implementation, catalogue and account system. The goal is to reuse the working foundation and add the connections needed for a persistent profile and native storefront placements. Always On is a proposed integration experience to scope together; it is not a capability that every existing deployment receives simply by updating its SDK.</w:t>
      </w:r>
    </w:p>
    <w:p>
      <w:pPr>
        <w:pStyle w:val="Heading1"/>
      </w:pPr>
      <w:r>
        <w:t>The customer journey</w:t>
      </w:r>
    </w:p>
    <w:p>
      <w:pPr>
        <w:pStyle w:val="ListBullet"/>
        <w:spacing w:after="140"/>
      </w:pPr>
      <w:r>
        <w:t>Sign in through the retailer. Link the shopper’s existing partner account to the SPREEAI profile through an agreed, authorized integration.</w:t>
      </w:r>
    </w:p>
    <w:p>
      <w:pPr>
        <w:pStyle w:val="ListBullet"/>
        <w:spacing w:after="140"/>
      </w:pPr>
      <w:r>
        <w:t>Set up once with permission. Collect a suitable photo, height and weight, plus only the additional inputs required by the selected features. Confirm exact requirements during discovery.</w:t>
      </w:r>
    </w:p>
    <w:p>
      <w:pPr>
        <w:pStyle w:val="ListBullet"/>
        <w:spacing w:after="140"/>
      </w:pPr>
      <w:r>
        <w:t>Continue shopping. Keep product and model photography first by default. Add personal imagery later in the gallery, a size recommendation near size selection, and eligible personal recommendations throughout the store.</w:t>
      </w:r>
    </w:p>
    <w:p>
      <w:pPr>
        <w:pStyle w:val="ListBullet"/>
        <w:spacing w:after="140"/>
      </w:pPr>
      <w:r>
        <w:t>Return without repeating setup. Reuse the profile within the agreed consent and retention settings. Keep editing, deletion and personalization controls accessible in the partner account.</w:t>
      </w:r>
    </w:p>
    <w:p>
      <w:pPr>
        <w:pStyle w:val="Heading1"/>
      </w:pPr>
      <w:r>
        <w:t>A choice for every shopper</w:t>
      </w:r>
    </w:p>
    <w:p>
      <w:r>
        <w:t>Shoppers who are not ready to create an account can explore with a brand-curated AI Twin. Customers who decline personalization, use an unsupported item, or encounter a service failure must still be able to browse and buy through the normal storefront.</w:t>
      </w:r>
    </w:p>
    <w:p>
      <w:r>
        <w:br w:type="page"/>
      </w:r>
    </w:p>
    <w:p>
      <w:pPr>
        <w:pStyle w:val="Heading1"/>
      </w:pPr>
      <w:r>
        <w:t>What can be reused and what must be added</w:t>
      </w:r>
    </w:p>
    <w:p>
      <w:r>
        <w:t>The current web SDK family provides a configured try-on experience, garment inputs and commerce callbacks, with sizing options depending on the version and enabled flow. Confirm the partner’s installed release and documentation before choosing a migration path. Do not assume that a method described in one version is available in another.</w:t>
      </w:r>
    </w:p>
    <w:tbl>
      <w:tblPr>
        <w:tblW w:type="auto" w:w="0"/>
        <w:tblLayout w:type="fixed"/>
        <w:tblLook w:firstColumn="1" w:firstRow="1" w:lastColumn="0" w:lastRow="0" w:noHBand="0" w:noVBand="1" w:val="04A0"/>
      </w:tblPr>
      <w:tblGrid>
        <w:gridCol w:w="1872"/>
        <w:gridCol w:w="2232"/>
        <w:gridCol w:w="5890"/>
      </w:tblGrid>
      <w:tr>
        <w:trPr>
          <w:cantSplit/>
          <w:tblHeader/>
        </w:trPr>
        <w:tc>
          <w:tcPr>
            <w:tcW w:type="dxa" w:w="1872"/>
            <w:tcBorders>
              <w:top w:val="single" w:sz="4" w:color="D9D9D9"/>
              <w:left w:val="single" w:sz="4" w:color="D9D9D9"/>
              <w:bottom w:val="single" w:sz="4" w:color="D9D9D9"/>
              <w:right w:val="single" w:sz="4" w:color="D9D9D9"/>
            </w:tcBorders>
            <w:shd w:fill="E8E8E8"/>
          </w:tcPr>
          <w:p>
            <w:pPr>
              <w:spacing w:after="140" w:before="140" w:line="259" w:lineRule="auto"/>
            </w:pPr>
            <w:r>
              <w:rPr>
                <w:b/>
                <w:sz w:val="18"/>
              </w:rPr>
              <w:t>Workstream</w:t>
            </w:r>
          </w:p>
        </w:tc>
        <w:tc>
          <w:tcPr>
            <w:tcW w:type="dxa" w:w="2232"/>
            <w:tcBorders>
              <w:top w:val="single" w:sz="4" w:color="D9D9D9"/>
              <w:left w:val="single" w:sz="4" w:color="D9D9D9"/>
              <w:bottom w:val="single" w:sz="4" w:color="D9D9D9"/>
              <w:right w:val="single" w:sz="4" w:color="D9D9D9"/>
            </w:tcBorders>
            <w:shd w:fill="E8E8E8"/>
          </w:tcPr>
          <w:p>
            <w:pPr>
              <w:spacing w:after="140" w:before="140" w:line="259" w:lineRule="auto"/>
            </w:pPr>
            <w:r>
              <w:rPr>
                <w:b/>
                <w:sz w:val="18"/>
              </w:rPr>
              <w:t>Primary responsibility</w:t>
            </w:r>
          </w:p>
        </w:tc>
        <w:tc>
          <w:tcPr>
            <w:tcW w:type="dxa" w:w="5890"/>
            <w:tcBorders>
              <w:top w:val="single" w:sz="4" w:color="D9D9D9"/>
              <w:left w:val="single" w:sz="4" w:color="D9D9D9"/>
              <w:bottom w:val="single" w:sz="4" w:color="D9D9D9"/>
              <w:right w:val="single" w:sz="4" w:color="D9D9D9"/>
            </w:tcBorders>
            <w:shd w:fill="E8E8E8"/>
          </w:tcPr>
          <w:p>
            <w:pPr>
              <w:spacing w:after="140" w:before="140" w:line="259" w:lineRule="auto"/>
            </w:pPr>
            <w:r>
              <w:rPr>
                <w:b/>
                <w:sz w:val="18"/>
              </w:rPr>
              <w:t>Required outcome</w:t>
            </w:r>
          </w:p>
        </w:tc>
      </w:tr>
      <w:tr>
        <w:trPr>
          <w:cantSplit/>
        </w:trPr>
        <w:tc>
          <w:tcPr>
            <w:tcW w:type="dxa" w:w="1872"/>
            <w:tcBorders>
              <w:top w:val="single" w:sz="4" w:color="D9D9D9"/>
              <w:left w:val="single" w:sz="4" w:color="D9D9D9"/>
              <w:bottom w:val="single" w:sz="4" w:color="D9D9D9"/>
              <w:right w:val="single" w:sz="4" w:color="D9D9D9"/>
            </w:tcBorders>
            <w:shd w:fill="FFFFFF"/>
          </w:tcPr>
          <w:p>
            <w:pPr>
              <w:spacing w:after="140" w:before="140" w:line="259" w:lineRule="auto"/>
            </w:pPr>
            <w:r>
              <w:rPr>
                <w:b w:val="0"/>
                <w:sz w:val="18"/>
              </w:rPr>
              <w:t>Account and profile</w:t>
            </w:r>
          </w:p>
        </w:tc>
        <w:tc>
          <w:tcPr>
            <w:tcW w:type="dxa" w:w="2232"/>
            <w:tcBorders>
              <w:top w:val="single" w:sz="4" w:color="D9D9D9"/>
              <w:left w:val="single" w:sz="4" w:color="D9D9D9"/>
              <w:bottom w:val="single" w:sz="4" w:color="D9D9D9"/>
              <w:right w:val="single" w:sz="4" w:color="D9D9D9"/>
            </w:tcBorders>
            <w:shd w:fill="FFFFFF"/>
          </w:tcPr>
          <w:p>
            <w:pPr>
              <w:spacing w:after="140" w:before="140" w:line="259" w:lineRule="auto"/>
            </w:pPr>
            <w:r>
              <w:rPr>
                <w:b w:val="0"/>
                <w:sz w:val="18"/>
              </w:rPr>
              <w:t>Partner and SPREEAI</w:t>
            </w:r>
          </w:p>
        </w:tc>
        <w:tc>
          <w:tcPr>
            <w:tcW w:type="dxa" w:w="5890"/>
            <w:tcBorders>
              <w:top w:val="single" w:sz="4" w:color="D9D9D9"/>
              <w:left w:val="single" w:sz="4" w:color="D9D9D9"/>
              <w:bottom w:val="single" w:sz="4" w:color="D9D9D9"/>
              <w:right w:val="single" w:sz="4" w:color="D9D9D9"/>
            </w:tcBorders>
            <w:shd w:fill="FFFFFF"/>
          </w:tcPr>
          <w:p>
            <w:pPr>
              <w:spacing w:after="140" w:before="140" w:line="259" w:lineRule="auto"/>
            </w:pPr>
            <w:r>
              <w:rPr>
                <w:b w:val="0"/>
                <w:sz w:val="18"/>
              </w:rPr>
              <w:t>Agreed identity linkage, consent, profile access, editing, deletion and session boundaries.</w:t>
            </w:r>
          </w:p>
        </w:tc>
      </w:tr>
      <w:tr>
        <w:trPr>
          <w:cantSplit/>
        </w:trPr>
        <w:tc>
          <w:tcPr>
            <w:tcW w:type="dxa" w:w="1872"/>
            <w:tcBorders>
              <w:top w:val="single" w:sz="4" w:color="D9D9D9"/>
              <w:left w:val="single" w:sz="4" w:color="D9D9D9"/>
              <w:bottom w:val="single" w:sz="4" w:color="D9D9D9"/>
              <w:right w:val="single" w:sz="4" w:color="D9D9D9"/>
            </w:tcBorders>
            <w:shd w:fill="FFFFFF"/>
          </w:tcPr>
          <w:p>
            <w:pPr>
              <w:spacing w:after="140" w:before="140" w:line="259" w:lineRule="auto"/>
            </w:pPr>
            <w:r>
              <w:rPr>
                <w:b w:val="0"/>
                <w:sz w:val="18"/>
              </w:rPr>
              <w:t>Catalogue</w:t>
            </w:r>
          </w:p>
        </w:tc>
        <w:tc>
          <w:tcPr>
            <w:tcW w:type="dxa" w:w="2232"/>
            <w:tcBorders>
              <w:top w:val="single" w:sz="4" w:color="D9D9D9"/>
              <w:left w:val="single" w:sz="4" w:color="D9D9D9"/>
              <w:bottom w:val="single" w:sz="4" w:color="D9D9D9"/>
              <w:right w:val="single" w:sz="4" w:color="D9D9D9"/>
            </w:tcBorders>
            <w:shd w:fill="FFFFFF"/>
          </w:tcPr>
          <w:p>
            <w:pPr>
              <w:spacing w:after="140" w:before="140" w:line="259" w:lineRule="auto"/>
            </w:pPr>
            <w:r>
              <w:rPr>
                <w:b w:val="0"/>
                <w:sz w:val="18"/>
              </w:rPr>
              <w:t>Partner, supported by SPREEAI</w:t>
            </w:r>
          </w:p>
        </w:tc>
        <w:tc>
          <w:tcPr>
            <w:tcW w:type="dxa" w:w="5890"/>
            <w:tcBorders>
              <w:top w:val="single" w:sz="4" w:color="D9D9D9"/>
              <w:left w:val="single" w:sz="4" w:color="D9D9D9"/>
              <w:bottom w:val="single" w:sz="4" w:color="D9D9D9"/>
              <w:right w:val="single" w:sz="4" w:color="D9D9D9"/>
            </w:tcBorders>
            <w:shd w:fill="FFFFFF"/>
          </w:tcPr>
          <w:p>
            <w:pPr>
              <w:spacing w:after="140" w:before="140" w:line="259" w:lineRule="auto"/>
            </w:pPr>
            <w:r>
              <w:rPr>
                <w:b w:val="0"/>
                <w:sz w:val="18"/>
              </w:rPr>
              <w:t>Stable product and variant mapping, eligible assets, size data, outfit compatibility and availability updates.</w:t>
            </w:r>
          </w:p>
        </w:tc>
      </w:tr>
      <w:tr>
        <w:trPr>
          <w:cantSplit/>
        </w:trPr>
        <w:tc>
          <w:tcPr>
            <w:tcW w:type="dxa" w:w="1872"/>
            <w:tcBorders>
              <w:top w:val="single" w:sz="4" w:color="D9D9D9"/>
              <w:left w:val="single" w:sz="4" w:color="D9D9D9"/>
              <w:bottom w:val="single" w:sz="4" w:color="D9D9D9"/>
              <w:right w:val="single" w:sz="4" w:color="D9D9D9"/>
            </w:tcBorders>
            <w:shd w:fill="FFFFFF"/>
          </w:tcPr>
          <w:p>
            <w:pPr>
              <w:spacing w:after="140" w:before="140" w:line="259" w:lineRule="auto"/>
            </w:pPr>
            <w:r>
              <w:rPr>
                <w:b w:val="0"/>
                <w:sz w:val="18"/>
              </w:rPr>
              <w:t>Automatic delivery</w:t>
            </w:r>
          </w:p>
        </w:tc>
        <w:tc>
          <w:tcPr>
            <w:tcW w:type="dxa" w:w="2232"/>
            <w:tcBorders>
              <w:top w:val="single" w:sz="4" w:color="D9D9D9"/>
              <w:left w:val="single" w:sz="4" w:color="D9D9D9"/>
              <w:bottom w:val="single" w:sz="4" w:color="D9D9D9"/>
              <w:right w:val="single" w:sz="4" w:color="D9D9D9"/>
            </w:tcBorders>
            <w:shd w:fill="FFFFFF"/>
          </w:tcPr>
          <w:p>
            <w:pPr>
              <w:spacing w:after="140" w:before="140" w:line="259" w:lineRule="auto"/>
            </w:pPr>
            <w:r>
              <w:rPr>
                <w:b w:val="0"/>
                <w:sz w:val="18"/>
              </w:rPr>
              <w:t>SPREEAI and partner engineering</w:t>
            </w:r>
          </w:p>
        </w:tc>
        <w:tc>
          <w:tcPr>
            <w:tcW w:type="dxa" w:w="5890"/>
            <w:tcBorders>
              <w:top w:val="single" w:sz="4" w:color="D9D9D9"/>
              <w:left w:val="single" w:sz="4" w:color="D9D9D9"/>
              <w:bottom w:val="single" w:sz="4" w:color="D9D9D9"/>
              <w:right w:val="single" w:sz="4" w:color="D9D9D9"/>
            </w:tcBorders>
            <w:shd w:fill="FFFFFF"/>
          </w:tcPr>
          <w:p>
            <w:pPr>
              <w:spacing w:after="140" w:before="140" w:line="259" w:lineRule="auto"/>
            </w:pPr>
            <w:r>
              <w:rPr>
                <w:b w:val="0"/>
                <w:sz w:val="18"/>
              </w:rPr>
              <w:t>Supported requests and results, readiness events, caching, limits and error handling for native placements.</w:t>
            </w:r>
          </w:p>
        </w:tc>
      </w:tr>
      <w:tr>
        <w:trPr>
          <w:cantSplit/>
        </w:trPr>
        <w:tc>
          <w:tcPr>
            <w:tcW w:type="dxa" w:w="1872"/>
            <w:tcBorders>
              <w:top w:val="single" w:sz="4" w:color="D9D9D9"/>
              <w:left w:val="single" w:sz="4" w:color="D9D9D9"/>
              <w:bottom w:val="single" w:sz="4" w:color="D9D9D9"/>
              <w:right w:val="single" w:sz="4" w:color="D9D9D9"/>
            </w:tcBorders>
            <w:shd w:fill="FFFFFF"/>
          </w:tcPr>
          <w:p>
            <w:pPr>
              <w:spacing w:after="140" w:before="140" w:line="259" w:lineRule="auto"/>
            </w:pPr>
            <w:r>
              <w:rPr>
                <w:b w:val="0"/>
                <w:sz w:val="18"/>
              </w:rPr>
              <w:t>Storefront</w:t>
            </w:r>
          </w:p>
        </w:tc>
        <w:tc>
          <w:tcPr>
            <w:tcW w:type="dxa" w:w="2232"/>
            <w:tcBorders>
              <w:top w:val="single" w:sz="4" w:color="D9D9D9"/>
              <w:left w:val="single" w:sz="4" w:color="D9D9D9"/>
              <w:bottom w:val="single" w:sz="4" w:color="D9D9D9"/>
              <w:right w:val="single" w:sz="4" w:color="D9D9D9"/>
            </w:tcBorders>
            <w:shd w:fill="FFFFFF"/>
          </w:tcPr>
          <w:p>
            <w:pPr>
              <w:spacing w:after="140" w:before="140" w:line="259" w:lineRule="auto"/>
            </w:pPr>
            <w:r>
              <w:rPr>
                <w:b w:val="0"/>
                <w:sz w:val="18"/>
              </w:rPr>
              <w:t>Partner, with SPREEAI guidance</w:t>
            </w:r>
          </w:p>
        </w:tc>
        <w:tc>
          <w:tcPr>
            <w:tcW w:type="dxa" w:w="5890"/>
            <w:tcBorders>
              <w:top w:val="single" w:sz="4" w:color="D9D9D9"/>
              <w:left w:val="single" w:sz="4" w:color="D9D9D9"/>
              <w:bottom w:val="single" w:sz="4" w:color="D9D9D9"/>
              <w:right w:val="single" w:sz="4" w:color="D9D9D9"/>
            </w:tcBorders>
            <w:shd w:fill="FFFFFF"/>
          </w:tcPr>
          <w:p>
            <w:pPr>
              <w:spacing w:after="140" w:before="140" w:line="259" w:lineRule="auto"/>
            </w:pPr>
            <w:r>
              <w:rPr>
                <w:b w:val="0"/>
                <w:sz w:val="18"/>
              </w:rPr>
              <w:t>Gallery, collection, recommendation, size and comparison components that preserve commerce behavior.</w:t>
            </w:r>
          </w:p>
        </w:tc>
      </w:tr>
      <w:tr>
        <w:trPr>
          <w:cantSplit/>
        </w:trPr>
        <w:tc>
          <w:tcPr>
            <w:tcW w:type="dxa" w:w="1872"/>
            <w:tcBorders>
              <w:top w:val="single" w:sz="4" w:color="D9D9D9"/>
              <w:left w:val="single" w:sz="4" w:color="D9D9D9"/>
              <w:bottom w:val="single" w:sz="4" w:color="D9D9D9"/>
              <w:right w:val="single" w:sz="4" w:color="D9D9D9"/>
            </w:tcBorders>
            <w:shd w:fill="FFFFFF"/>
          </w:tcPr>
          <w:p>
            <w:pPr>
              <w:spacing w:after="140" w:before="140" w:line="259" w:lineRule="auto"/>
            </w:pPr>
            <w:r>
              <w:rPr>
                <w:b w:val="0"/>
                <w:sz w:val="18"/>
              </w:rPr>
              <w:t>Creative direction</w:t>
            </w:r>
          </w:p>
        </w:tc>
        <w:tc>
          <w:tcPr>
            <w:tcW w:type="dxa" w:w="2232"/>
            <w:tcBorders>
              <w:top w:val="single" w:sz="4" w:color="D9D9D9"/>
              <w:left w:val="single" w:sz="4" w:color="D9D9D9"/>
              <w:bottom w:val="single" w:sz="4" w:color="D9D9D9"/>
              <w:right w:val="single" w:sz="4" w:color="D9D9D9"/>
            </w:tcBorders>
            <w:shd w:fill="FFFFFF"/>
          </w:tcPr>
          <w:p>
            <w:pPr>
              <w:spacing w:after="140" w:before="140" w:line="259" w:lineRule="auto"/>
            </w:pPr>
            <w:r>
              <w:rPr>
                <w:b w:val="0"/>
                <w:sz w:val="18"/>
              </w:rPr>
              <w:t>Partner, supported by SPREEAI</w:t>
            </w:r>
          </w:p>
        </w:tc>
        <w:tc>
          <w:tcPr>
            <w:tcW w:type="dxa" w:w="5890"/>
            <w:tcBorders>
              <w:top w:val="single" w:sz="4" w:color="D9D9D9"/>
              <w:left w:val="single" w:sz="4" w:color="D9D9D9"/>
              <w:bottom w:val="single" w:sz="4" w:color="D9D9D9"/>
              <w:right w:val="single" w:sz="4" w:color="D9D9D9"/>
            </w:tcBorders>
            <w:shd w:fill="FFFFFF"/>
          </w:tcPr>
          <w:p>
            <w:pPr>
              <w:spacing w:after="140" w:before="140" w:line="259" w:lineRule="auto"/>
            </w:pPr>
            <w:r>
              <w:rPr>
                <w:b w:val="0"/>
                <w:sz w:val="18"/>
              </w:rPr>
              <w:t>Approved AI Twins, garment poses, stylist expression and clear labels for simulated outputs.</w:t>
            </w:r>
          </w:p>
        </w:tc>
      </w:tr>
      <w:tr>
        <w:trPr>
          <w:cantSplit/>
        </w:trPr>
        <w:tc>
          <w:tcPr>
            <w:tcW w:type="dxa" w:w="1872"/>
            <w:tcBorders>
              <w:top w:val="single" w:sz="4" w:color="D9D9D9"/>
              <w:left w:val="single" w:sz="4" w:color="D9D9D9"/>
              <w:bottom w:val="single" w:sz="4" w:color="D9D9D9"/>
              <w:right w:val="single" w:sz="4" w:color="D9D9D9"/>
            </w:tcBorders>
            <w:shd w:fill="FFFFFF"/>
          </w:tcPr>
          <w:p>
            <w:pPr>
              <w:spacing w:after="140" w:before="140" w:line="259" w:lineRule="auto"/>
            </w:pPr>
            <w:r>
              <w:rPr>
                <w:b w:val="0"/>
                <w:sz w:val="18"/>
              </w:rPr>
              <w:t>Pilot and measurement</w:t>
            </w:r>
          </w:p>
        </w:tc>
        <w:tc>
          <w:tcPr>
            <w:tcW w:type="dxa" w:w="2232"/>
            <w:tcBorders>
              <w:top w:val="single" w:sz="4" w:color="D9D9D9"/>
              <w:left w:val="single" w:sz="4" w:color="D9D9D9"/>
              <w:bottom w:val="single" w:sz="4" w:color="D9D9D9"/>
              <w:right w:val="single" w:sz="4" w:color="D9D9D9"/>
            </w:tcBorders>
            <w:shd w:fill="FFFFFF"/>
          </w:tcPr>
          <w:p>
            <w:pPr>
              <w:spacing w:after="140" w:before="140" w:line="259" w:lineRule="auto"/>
            </w:pPr>
            <w:r>
              <w:rPr>
                <w:b w:val="0"/>
                <w:sz w:val="18"/>
              </w:rPr>
              <w:t>Joint</w:t>
            </w:r>
          </w:p>
        </w:tc>
        <w:tc>
          <w:tcPr>
            <w:tcW w:type="dxa" w:w="5890"/>
            <w:tcBorders>
              <w:top w:val="single" w:sz="4" w:color="D9D9D9"/>
              <w:left w:val="single" w:sz="4" w:color="D9D9D9"/>
              <w:bottom w:val="single" w:sz="4" w:color="D9D9D9"/>
              <w:right w:val="single" w:sz="4" w:color="D9D9D9"/>
            </w:tcBorders>
            <w:shd w:fill="FFFFFF"/>
          </w:tcPr>
          <w:p>
            <w:pPr>
              <w:spacing w:after="140" w:before="140" w:line="259" w:lineRule="auto"/>
            </w:pPr>
            <w:r>
              <w:rPr>
                <w:b w:val="0"/>
                <w:sz w:val="18"/>
              </w:rPr>
              <w:t>Defined cohort, quality gates, performance targets, analytics and rollback ownership.</w:t>
            </w:r>
          </w:p>
        </w:tc>
      </w:tr>
    </w:tbl>
    <w:p>
      <w:pPr>
        <w:pStyle w:val="Heading1"/>
      </w:pPr>
      <w:r>
        <w:t>The proposed SDK integration layer</w:t>
      </w:r>
    </w:p>
    <w:p>
      <w:r>
        <w:t>The extension needs to connect an authorized profile to an eligible garment or outfit, request or reuse the relevant result, and deliver its state to the retailer’s own components. Engineering must agree the interface for pending, ready, unavailable and failed results, plus cancellation and invalidation when a shopper, profile, product or variant changes. These are proposed contracts, not published Always On API names.</w:t>
      </w:r>
    </w:p>
    <w:p>
      <w:r>
        <w:t>The partner continues to own price, inventory, cart and checkout behavior. Personalization must not block a purchase or substitute stale product information.</w:t>
      </w:r>
    </w:p>
    <w:p>
      <w:r>
        <w:br w:type="page"/>
      </w:r>
    </w:p>
    <w:p>
      <w:pPr>
        <w:pStyle w:val="Heading1"/>
      </w:pPr>
      <w:r>
        <w:t>What your brand controls</w:t>
      </w:r>
    </w:p>
    <w:p>
      <w:r>
        <w:t>Choose the features, placements, eligible categories and creative direction. Decide whether brand imagery or personal imagery leads; the demonstration defaults to brand photography first. Outfit builder belongs with the garment under consideration. Comparison stays within the store. Recommendations can use the same eligible personal imagery.</w:t>
      </w:r>
    </w:p>
    <w:p>
      <w:r>
        <w:t>For future pose and motion experiences, begin with a front-facing view, then use brand-directed editorial poses suited to the garment. A back view must be labeled as simulated. Partners can direct garment-specific motion, such as a dress swaying or activewear in movement. The AI stylist’s appearance, voice, tone and recommendations should reflect the brand’s audience and approved catalogue.</w:t>
      </w:r>
    </w:p>
    <w:p>
      <w:pPr>
        <w:pStyle w:val="Heading1"/>
      </w:pPr>
      <w:r>
        <w:t>Availability and roadmap</w:t>
      </w:r>
    </w:p>
    <w:p>
      <w:r>
        <w:t>Virtual try-on is an established SPREEAI capability. Sizing, supported categories, multi-garment behavior and comparison must be confirmed against each partner’s integration and enabled services. The Always On account and automatic-placement experience requires joint scoping. The demo does not establish production availability for every garment or accessory.</w:t>
      </w:r>
    </w:p>
    <w:p>
      <w:r>
        <w:t>AI stylist, brand-directed poses, simulated back views, video try-on and fit visualization are concept or roadmap experiences unless separately confirmed for a partner. Fit visualization illustrates a possible relaxed or closer-fitting look; it is separate from recommending a size and is not a measurement guarantee. Roadmap scope and timing must be agreed before committing to launch.</w:t>
      </w:r>
    </w:p>
    <w:p>
      <w:pPr>
        <w:pStyle w:val="Heading1"/>
      </w:pPr>
      <w:r>
        <w:t>Operational requirements</w:t>
      </w:r>
    </w:p>
    <w:p>
      <w:pPr>
        <w:pStyle w:val="ListBullet"/>
        <w:spacing w:after="140"/>
      </w:pPr>
      <w:r>
        <w:t>Authorize every profile and result within the correct partner and shopper context. Keep service credentials out of storefront code. Validate embedded messages and their origins.</w:t>
      </w:r>
    </w:p>
    <w:p>
      <w:pPr>
        <w:pStyle w:val="ListBullet"/>
        <w:spacing w:after="140"/>
      </w:pPr>
      <w:r>
        <w:t>Agree consent, data use, retention and deletion behavior. Clear personal state on logout or account changes and handle shared in-store devices explicitly.</w:t>
      </w:r>
    </w:p>
    <w:p>
      <w:pPr>
        <w:pStyle w:val="ListBullet"/>
        <w:spacing w:after="140"/>
      </w:pPr>
      <w:r>
        <w:t>Load eligible content progressively. Agree generation limits, cache expiry and invalidation, including profile changes. Preserve normal product imagery while results load or fail.</w:t>
      </w:r>
    </w:p>
    <w:p>
      <w:pPr>
        <w:pStyle w:val="ListBullet"/>
        <w:spacing w:after="140"/>
      </w:pPr>
      <w:r>
        <w:t>Support mobile layouts, keyboard navigation, readable status, video captions and playback controls. Do not rely on autoplay with sound to explain a feature.</w:t>
      </w:r>
    </w:p>
    <w:p>
      <w:r>
        <w:br w:type="page"/>
      </w:r>
    </w:p>
    <w:p>
      <w:pPr>
        <w:pStyle w:val="Heading1"/>
      </w:pPr>
      <w:r>
        <w:t>A phased path for existing partners</w:t>
      </w:r>
    </w:p>
    <w:p>
      <w:r>
        <w:t>First, inventory the installed SDK, enabled features, identity provider, catalogue pipeline, storefront framework and existing analytics. Resolve version differences and confirm the supported upgrade route with SPREEAI. Preserve the current working integration while the new experience is developed behind a controlled flag.</w:t>
      </w:r>
    </w:p>
    <w:p>
      <w:r>
        <w:t>Next, scope a small pilot around one eligible category and one storefront surface. Agree the account-linking and profile lifecycle, generation and result interfaces, creative approvals, capacity and measurement plan. Implement the partner components alongside the necessary SPREEAI service work.</w:t>
      </w:r>
    </w:p>
    <w:p>
      <w:r>
        <w:t>Then validate the complete journey in staging. Test a new account, returning account, AI Twin, declined consent, logout, profile edits and deletion, product and variant changes, missing sizes, unavailable garments, slow generation and failure. Check desktop, mobile and assisted-store usage where applicable.</w:t>
      </w:r>
    </w:p>
    <w:p>
      <w:r>
        <w:t>Finally, release to the agreed pilot cohort with monitoring and a rollback switch. Expand only after the partner and SPREEAI accept quality, reliability and business results. A schedule follows technical discovery and service readiness; this overview does not commit to a delivery date.</w:t>
      </w:r>
    </w:p>
    <w:p>
      <w:pPr>
        <w:pStyle w:val="Heading1"/>
      </w:pPr>
      <w:r>
        <w:t>What success should show</w:t>
      </w:r>
    </w:p>
    <w:p>
      <w:r>
        <w:t>Agree a baseline and a comparable control where practical. Measure account and profile completion, visualization availability and latency, feature use, add-to-bag and checkout completion. Track return behavior over a suitable period and watch for changes in page performance or abandonment. These are evaluation measures, not promised improvements.</w:t>
      </w:r>
    </w:p>
    <w:p>
      <w:pPr>
        <w:pStyle w:val="Heading1"/>
      </w:pPr>
      <w:r>
        <w:t>Prepare for the first working session</w:t>
      </w:r>
    </w:p>
    <w:p>
      <w:pPr>
        <w:pStyle w:val="ListBullet"/>
        <w:spacing w:after="140"/>
      </w:pPr>
      <w:r>
        <w:t>Bring your SDK version, storefront stack, account provider and current integration owner.</w:t>
      </w:r>
    </w:p>
    <w:p>
      <w:pPr>
        <w:pStyle w:val="ListBullet"/>
        <w:spacing w:after="140"/>
      </w:pPr>
      <w:r>
        <w:t>Choose a category and a sample of products with variant, image and size information.</w:t>
      </w:r>
    </w:p>
    <w:p>
      <w:pPr>
        <w:pStyle w:val="ListBullet"/>
        <w:spacing w:after="140"/>
      </w:pPr>
      <w:r>
        <w:t>Identify your preferred features, first placement and brand creative requirements.</w:t>
      </w:r>
    </w:p>
    <w:p>
      <w:pPr>
        <w:pStyle w:val="ListBullet"/>
        <w:spacing w:after="140"/>
      </w:pPr>
      <w:r>
        <w:t>Agree who owns privacy review, engineering, merchandising, QA and pilot measurement.</w:t>
      </w:r>
    </w:p>
    <w:p>
      <w:r>
        <w:t>The output is a shared integration scope: what can be reused, what each team must build, what is available for the pilot, and what must remain a future preview.</w:t>
      </w:r>
    </w:p>
    <w:sectPr w:rsidR="00FC693F" w:rsidRPr="0006063C" w:rsidSect="00034616">
      <w:footerReference w:type="default" r:id="rId9"/>
      <w:pgSz w:w="12240" w:h="15840"/>
      <w:pgMar w:top="936" w:right="1123" w:bottom="864"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SPREEAI  |  Always On  |  September 2026</w:t>
    </w:r>
    <w:r>
      <w:t xml:space="preserv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4"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SPREEAI Always On Partner Integration Overview</dc:title>
  <dc:subject>Always On partner experience</dc:subject>
  <dc:creator>SPREEAI</dc:creator>
  <cp:keywords/>
  <dc:description>generated by python-docx</dc:description>
  <cp:lastModifiedBy/>
  <cp:revision>1</cp:revision>
  <dcterms:created xsi:type="dcterms:W3CDTF">2013-12-23T23:15:00Z</dcterms:created>
  <dcterms:modified xsi:type="dcterms:W3CDTF">2013-12-23T23:15:00Z</dcterms:modified>
  <cp:category/>
</cp:coreProperties>
</file>