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4B"/>
          <w:sz w:val="48"/>
          <w:szCs w:val="48"/>
        </w:rPr>
        <w:t xml:space="preserve">Clinical NLP to ICD-10 Coding POC</w:t>
      </w:r>
    </w:p>
    <w:p>
      <w:pPr>
        <w:spacing w:after="200"/>
        <w:jc w:val="center"/>
      </w:pPr>
      <w:r>
        <w:rPr>
          <w:rFonts w:ascii="Arial" w:cs="Arial" w:eastAsia="Arial" w:hAnsi="Arial"/>
          <w:color w:val="2E4057"/>
          <w:sz w:val="36"/>
          <w:szCs w:val="36"/>
        </w:rPr>
        <w:t xml:space="preserve">Context-Aware Approaches:</w:t>
      </w:r>
    </w:p>
    <w:p>
      <w:pPr>
        <w:spacing w:after="600"/>
        <w:jc w:val="center"/>
      </w:pPr>
      <w:r>
        <w:rPr>
          <w:rFonts w:ascii="Arial" w:cs="Arial" w:eastAsia="Arial" w:hAnsi="Arial"/>
          <w:color w:val="2E4057"/>
          <w:sz w:val="36"/>
          <w:szCs w:val="36"/>
        </w:rPr>
        <w:t xml:space="preserve">Knowledge Graph and LLM Enrichment</w:t>
      </w:r>
    </w:p>
    <w:p>
      <w:pPr>
        <w:spacing w:after="100"/>
        <w:jc w:val="center"/>
      </w:pPr>
      <w:r>
        <w:rPr>
          <w:rFonts w:ascii="Arial" w:cs="Arial" w:eastAsia="Arial" w:hAnsi="Arial"/>
          <w:color w:val="666666"/>
          <w:sz w:val="26"/>
          <w:szCs w:val="26"/>
        </w:rPr>
        <w:t xml:space="preserve">Architecture and Design Document</w:t>
      </w:r>
    </w:p>
    <w:p>
      <w:pPr>
        <w:spacing w:after="100"/>
        <w:jc w:val="center"/>
      </w:pPr>
      <w:r>
        <w:rPr>
          <w:rFonts w:ascii="Arial" w:cs="Arial" w:eastAsia="Arial" w:hAnsi="Arial"/>
          <w:color w:val="666666"/>
          <w:sz w:val="24"/>
          <w:szCs w:val="24"/>
        </w:rPr>
        <w:t xml:space="preserve">Domain: Diabetes</w:t>
      </w:r>
    </w:p>
    <w:p>
      <w:pPr>
        <w:spacing w:after="100"/>
        <w:jc w:val="center"/>
      </w:pPr>
      <w:r>
        <w:rPr>
          <w:rFonts w:ascii="Arial" w:cs="Arial" w:eastAsia="Arial" w:hAnsi="Arial"/>
          <w:color w:val="666666"/>
          <w:sz w:val="24"/>
          <w:szCs w:val="24"/>
        </w:rPr>
        <w:t xml:space="preserve">February 2026</w:t>
      </w:r>
    </w:p>
    <w:p>
      <w:pPr>
        <w:sectPr>
          <w:pgSz w:w="12240" w:h="15840" w:orient="portrait"/>
          <w:pgMar w:top="1440" w:right="1440" w:bottom="1440" w:left="1440" w:header="708" w:footer="708" w:gutter="0"/>
          <w:pgNumType/>
          <w:docGrid w:linePitch="360"/>
        </w:sectPr>
      </w:pPr>
    </w:p>
    <w:p>
      <w:pPr>
        <w:pStyle w:val="Heading1"/>
        <w:spacing w:before="240" w:after="120"/>
      </w:pPr>
      <w:r>
        <w:rPr>
          <w:b/>
          <w:bCs/>
        </w:rPr>
        <w:t xml:space="preserve">1. Executive Summary</w:t>
      </w:r>
    </w:p>
    <w:p>
      <w:pPr>
        <w:spacing w:after="160" w:line="276"/>
      </w:pPr>
      <w:r>
        <w:t xml:space="preserve">This document details the architecture and design rationale for the three approaches in the Clinical NLP to ICD-10 Coding POC: Approach 3 (NER baseline), Approach 3+KG (Knowledge Graph enrichment), and Approach 4 (LLM enrichment). All three share the same pipeline structure: parse clinical note, extract entities via NER, resolve to SNOMED CT concepts, and map to ICD-10 codes via the official crosswalk. They differ in one step: context enrichment between NER extraction and SNOMED resolution.</w:t>
      </w:r>
    </w:p>
    <w:p>
      <w:pPr>
        <w:spacing w:after="160" w:line="276"/>
      </w:pPr>
      <w:r>
        <w:t xml:space="preserve">The fundamental problem: a clinical note may state "diabetes mellitus, uncontrolled" in one section and "blood sugar 425" in another. Approach 3 cannot connect these two facts because it processes each entity in isolation. Approach 3+KG uses a structured knowledge graph to traverse from "blood sugar &gt; 400" to "hyperglycemia" via a defined clinical rule. Approach 4 uses a local LLM (via Ollama) to read the full note and infer the same connection with natural language reasoning.</w:t>
      </w:r>
    </w:p>
    <w:p>
      <w:pPr>
        <w:spacing w:after="160" w:line="276"/>
      </w:pPr>
      <w:r>
        <w:t xml:space="preserve">All three approaches produce the same output format: extraction results with ICD-10 codes, SNOMED concepts, evidence spans, confidence scores, inference strength labels, and needs_review flags. The POC benchmarks them against each other to measure whether context-awareness produces measurably more specific and accurate codes.</w:t>
      </w:r>
    </w:p>
    <w:p>
      <w:pPr>
        <w:pStyle w:val="Heading1"/>
        <w:spacing w:before="240" w:after="120"/>
      </w:pPr>
      <w:r>
        <w:rPr>
          <w:b/>
          <w:bCs/>
        </w:rPr>
        <w:t xml:space="preserve">2. Why Context Matters for Clinical Coding</w:t>
      </w:r>
    </w:p>
    <w:p>
      <w:pPr>
        <w:spacing w:after="160" w:line="276"/>
      </w:pPr>
      <w:r>
        <w:t xml:space="preserve">ICD-10-CM coding requires specificity. "Diabetes mellitus" alone maps to E11.9 (unspecified), which is clinically accurate but under-codes the patient's condition. If the note documents hyperglycemia through lab values, the correct code is E11.65 (Type 2 diabetes mellitus with hyperglycemia), which is an HCC (Hierarchical Condition Category) code that affects risk adjustment and reimbursement.</w:t>
      </w:r>
    </w:p>
    <w:p>
      <w:pPr>
        <w:spacing w:after="160" w:line="276"/>
      </w:pPr>
      <w:r>
        <w:t xml:space="preserve">The gap between E11.9 and E11.65 is not a matter of guessing. It is a matter of connecting evidence that exists in different sections of the same note. The evidence is present; a baseline pipeline simply cannot see it because it processes entities one at a time, in the section where they appear, without looking at the full clinical picture.</w:t>
      </w:r>
    </w:p>
    <w:p>
      <w:pPr>
        <w:pStyle w:val="Heading2"/>
        <w:spacing w:before="240" w:after="120"/>
      </w:pPr>
      <w:r>
        <w:rPr>
          <w:b/>
          <w:bCs/>
        </w:rPr>
        <w:t xml:space="preserve">2.1 The Cross-Section Problem</w:t>
      </w:r>
    </w:p>
    <w:p>
      <w:pPr>
        <w:spacing w:after="160" w:line="276"/>
      </w:pPr>
      <w:r>
        <w:t xml:space="preserve">Clinical notes are structured into sections: History of Present Illness (HPI), Past Medical History (PMH), Review of Systems (ROS), and Assessment/Plan. A single condition may have its diagnosis in PMH, its lab values in HPI, its symptoms in ROS, and its treatment plan in Assessment. Sentence-level NER extracts entities from each section independently and has no mechanism to link "blood sugar 425" in HPI to "diabetes mellitus, uncontrolled" in PMH.</w:t>
      </w:r>
    </w:p>
    <w:p>
      <w:pPr>
        <w:pStyle w:val="Heading2"/>
        <w:spacing w:before="240" w:after="120"/>
      </w:pPr>
      <w:r>
        <w:rPr>
          <w:b/>
          <w:bCs/>
        </w:rPr>
        <w:t xml:space="preserve">2.2 What Context-Aware Approaches Add</w:t>
      </w:r>
    </w:p>
    <w:p>
      <w:pPr>
        <w:spacing w:after="160" w:line="276"/>
      </w:pPr>
      <w:r>
        <w:t xml:space="preserve">Both Approach 3+KG and Approach 4 solve this by operating on the full set of extracted entities rather than individual entities. They ask: given all entities extracted across all sections, what additional clinical facts can be inferred? The answer is then used to produce more specific SNOMED concepts, which in turn map to more specific ICD-10 codes.</w:t>
      </w:r>
    </w:p>
    <w:p>
      <w:pPr>
        <w:pStyle w:val="Heading1"/>
        <w:spacing w:before="240" w:after="120"/>
      </w:pPr>
      <w:r>
        <w:rPr>
          <w:b/>
          <w:bCs/>
        </w:rPr>
        <w:t xml:space="preserve">3. Approach 3: NER Baseline</w:t>
      </w:r>
    </w:p>
    <w:p>
      <w:pPr>
        <w:pStyle w:val="Heading2"/>
        <w:spacing w:before="240" w:after="120"/>
      </w:pPr>
      <w:r>
        <w:rPr>
          <w:b/>
          <w:bCs/>
        </w:rPr>
        <w:t xml:space="preserve">3.1 Design Rationale</w:t>
      </w:r>
    </w:p>
    <w:p>
      <w:pPr>
        <w:spacing w:after="160" w:line="276"/>
      </w:pPr>
      <w:r>
        <w:t xml:space="preserve">Approach 3 is the baseline pipeline. It establishes what sentence-level NER can achieve without any context enrichment, and its output serves as the reference point against which the other two approaches are measured. Every specificity gap in Approach 3's output is a gap that context-aware approaches aim to close.</w:t>
      </w:r>
    </w:p>
    <w:p>
      <w:pPr>
        <w:spacing w:after="160" w:line="276"/>
      </w:pPr>
      <w:r>
        <w:t xml:space="preserve">The pipeline is intentionally simple. It extracts entities, resolves them to SNOMED concepts, maps those to ICD-10 codes, and outputs the results. There is no cross-referencing between entities, no inference from lab values, and no linking of symptoms to conditions. Each entity is processed in isolation.</w:t>
      </w:r>
    </w:p>
    <w:p>
      <w:pPr>
        <w:pStyle w:val="Heading2"/>
        <w:spacing w:before="240" w:after="120"/>
      </w:pPr>
      <w:r>
        <w:rPr>
          <w:b/>
          <w:bCs/>
        </w:rPr>
        <w:t xml:space="preserve">3.2 Pipeline Steps</w:t>
      </w:r>
    </w:p>
    <w:p>
      <w:pPr>
        <w:spacing w:after="160" w:line="276"/>
      </w:pPr>
      <w:r>
        <w:t xml:space="preserve">The Approach 3 pipeline proceeds through five stages:</w:t>
      </w:r>
    </w:p>
    <w:p>
      <w:pPr>
        <w:spacing w:after="160" w:line="276"/>
      </w:pPr>
      <w:r>
        <w:rPr>
          <w:b/>
          <w:bCs/>
        </w:rPr>
        <w:t xml:space="preserve">Stage 1 - Note parsing: </w:t>
      </w:r>
      <w:r>
        <w:t xml:space="preserve">The clinical note is parsed into named sections (HPI, PMH, ROS, Assessment/Plan) with character offsets tracked for each section boundary. This allows evidence spans in the output to reference exact positions in the original note.</w:t>
      </w:r>
    </w:p>
    <w:p>
      <w:pPr>
        <w:spacing w:after="160" w:line="276"/>
      </w:pPr>
      <w:r>
        <w:rPr>
          <w:b/>
          <w:bCs/>
        </w:rPr>
        <w:t xml:space="preserve">Stage 2 - NER extraction: </w:t>
      </w:r>
      <w:r>
        <w:t xml:space="preserve">The NER factory produces entity spans with labels (PROBLEM, TREATMENT, TEST for Stanza; DISEASE, CHEMICAL for ScispaCy). The default configuration uses Stanza (trained on i2b2 clinical data) as the primary extractor and ScispaCy (trained on PubMed BC5CDR corpus) as the secondary. Their outputs are merged with span-overlap deduplication, where Stanza takes priority on overlapping spans. The factory also supports Med7 and BioBERT NER for benchmarking.</w:t>
      </w:r>
    </w:p>
    <w:p>
      <w:pPr>
        <w:spacing w:after="160" w:line="276"/>
      </w:pPr>
      <w:r>
        <w:rPr>
          <w:b/>
          <w:bCs/>
        </w:rPr>
        <w:t xml:space="preserve">Stage 3 - Semantic resolution: </w:t>
      </w:r>
      <w:r>
        <w:t xml:space="preserve">Each extracted entity is resolved to a SNOMED CT concept using embedding-based cosine similarity. The embedding factory supports SapBERT (default, optimized for medical concept normalization via UMLS synonym pair training), BioBERT, and PubMedBERT. All SNOMED concept embeddings are pre-computed and stored as .npz files. An exact string match serves as a fast path before the embedding search. Entities that fall below the confidence threshold are skipped.</w:t>
      </w:r>
    </w:p>
    <w:p>
      <w:pPr>
        <w:spacing w:after="160" w:line="276"/>
      </w:pPr>
      <w:r>
        <w:rPr>
          <w:b/>
          <w:bCs/>
        </w:rPr>
        <w:t xml:space="preserve">Stage 4 - ICD-10 mapping: </w:t>
      </w:r>
      <w:r>
        <w:t xml:space="preserve">Each resolved SNOMED concept is mapped to an ICD-10 code using the official SNOMED CT to ICD-10-CM extended map from the US Edition release (der2_iisssccRefset_ExtendedMapSnapshot). When multiple ICD-10 codes match a single SNOMED concept, candidates are ranked by specificity. The mapper uses the mapGroup and mapPriority fields from the extended map to select the appropriate code.</w:t>
      </w:r>
    </w:p>
    <w:p>
      <w:pPr>
        <w:spacing w:after="160" w:line="276"/>
      </w:pPr>
      <w:r>
        <w:rPr>
          <w:b/>
          <w:bCs/>
        </w:rPr>
        <w:t xml:space="preserve">Stage 5 - Output: </w:t>
      </w:r>
      <w:r>
        <w:t xml:space="preserve">The pipeline produces a PipelineOutput containing ExtractionResult objects. Each result includes the ICD-10 code, the SNOMED concept, confidence score, evidence spans with character offsets, and the inference_strength field set to "explicit" (since Approach 3 only captures what is directly stated in the note).</w:t>
      </w:r>
    </w:p>
    <w:p>
      <w:pPr>
        <w:pStyle w:val="Heading2"/>
        <w:spacing w:before="240" w:after="120"/>
      </w:pPr>
      <w:r>
        <w:rPr>
          <w:b/>
          <w:bCs/>
        </w:rPr>
        <w:t xml:space="preserve">3.3 Factory Pattern and Benchmarking</w:t>
      </w:r>
    </w:p>
    <w:p>
      <w:pPr>
        <w:spacing w:after="160" w:line="276"/>
      </w:pPr>
      <w:r>
        <w:t xml:space="preserve">Every swappable component in Approach 3 is built behind a factory pattern so that multiple alternatives can be benchmarked. The NER factory supports four models, the embedding factory supports three models, and each combination can be tested across all three clinical notes. This produces a matrix of results that identifies which NER model has the best recall for clinical entities and which embedding model produces the most accurate SNOMED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Factory</w:t>
            </w:r>
          </w:p>
        </w:tc>
        <w:tc>
          <w:tcPr>
            <w:tcW w:type="dxa" w:w="3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NERFactory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Stanza, ScispaCy, Med7, BioBERT 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Stanza + ScispaCy (merged)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EmbeddingFactory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SapBERT, BioBERT, PubMedBERT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SapBERT</w:t>
            </w:r>
          </w:p>
        </w:tc>
      </w:tr>
    </w:tbl>
    <w:p>
      <w:pPr>
        <w:spacing w:after="160" w:line="276"/>
      </w:pPr>
      <w:r>
        <w:t xml:space="preserve">The benchmark results from Approach 3 directly inform the other approaches. Approach 3+KG and Approach 4 use the same NER and embedding components; only the enrichment step differs. The best-performing NER and embedding combination from the Approach 3 benchmark becomes the default for all approaches.</w:t>
      </w:r>
    </w:p>
    <w:p>
      <w:pPr>
        <w:pStyle w:val="Heading2"/>
        <w:spacing w:before="240" w:after="120"/>
      </w:pPr>
      <w:r>
        <w:rPr>
          <w:b/>
          <w:bCs/>
        </w:rPr>
        <w:t xml:space="preserve">3.4 Data Sources</w:t>
      </w:r>
    </w:p>
    <w:p>
      <w:pPr>
        <w:spacing w:after="160" w:line="276"/>
      </w:pPr>
      <w:r>
        <w:t xml:space="preserve">Approach 3 uses the following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SNOMED CT US Edition (Sep 2025)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sct2_Description_Snapshot, sct2_Concept_Snapshot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 names, synonyms, and active status for entity resolution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SNOMED to ICD-10 Map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der2_iisssccRefset_ExtendedMapSnapshot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Official crosswalk from SNOMED concept IDs to ICD-10-CM codes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ICD-10-CM (April 2026)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icd10cm-codes-April-1-2026.txt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descriptions and billable status (codes stored without dots, parsed at load)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Pre-computed embeddings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snomed_embeddings/{model}.npz</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SNOMED concept embeddings per embedding model for cosine similarity search</w:t>
            </w:r>
          </w:p>
        </w:tc>
      </w:tr>
    </w:tbl>
    <w:p>
      <w:pPr>
        <w:pStyle w:val="Heading2"/>
        <w:spacing w:before="240" w:after="120"/>
      </w:pPr>
      <w:r>
        <w:rPr>
          <w:b/>
          <w:bCs/>
        </w:rPr>
        <w:t xml:space="preserve">3.5 Expected Behavior and Limitations</w:t>
      </w:r>
    </w:p>
    <w:p>
      <w:pPr>
        <w:spacing w:after="160" w:line="276"/>
      </w:pPr>
      <w:r>
        <w:t xml:space="preserve">Approach 3 is expected to produce correct but unspecific codes. For Note 1, it should extract "Diabetes mellitus" and map it to E11.9 (Type 2 DM, unspecified) rather than E11.65 (with hyperglycemia). It should extract "insulin" as a treatment entity. It should not produce E11.65 because the connection between "blood sugar 425" and hyperglycemia requires cross-section reasoning that the baseline does not perform.</w:t>
      </w:r>
    </w:p>
    <w:p>
      <w:pPr>
        <w:spacing w:after="160" w:line="276"/>
      </w:pPr>
      <w:r>
        <w:t xml:space="preserve">The limitations of Approach 3 fall into three categories:</w:t>
      </w:r>
    </w:p>
    <w:p>
      <w:pPr>
        <w:spacing w:after="160" w:line="276"/>
      </w:pPr>
      <w:r>
        <w:rPr>
          <w:b/>
          <w:bCs/>
        </w:rPr>
        <w:t xml:space="preserve">No cross-section context: </w:t>
      </w:r>
      <w:r>
        <w:t xml:space="preserve">The pipeline cannot link entities from different sections. Lab values in HPI are not connected to diagnoses in PMH. Medications in Assessment/Plan are not linked to the conditions they treat in other sections. This is the primary limitation that motivates the context-aware approaches.</w:t>
      </w:r>
    </w:p>
    <w:p>
      <w:pPr>
        <w:spacing w:after="160" w:line="276"/>
      </w:pPr>
      <w:r>
        <w:rPr>
          <w:b/>
          <w:bCs/>
        </w:rPr>
        <w:t xml:space="preserve">Entity isolation: </w:t>
      </w:r>
      <w:r>
        <w:t xml:space="preserve">Each entity is resolved to SNOMED independently. "Diabetes mellitus" and "uncontrolled" may be extracted as separate entities but are not combined into "uncontrolled diabetes mellitus" before resolution. This fragmentation reduces the specificity of the SNOMED match.</w:t>
      </w:r>
    </w:p>
    <w:p>
      <w:pPr>
        <w:spacing w:after="160" w:line="276"/>
      </w:pPr>
      <w:r>
        <w:rPr>
          <w:b/>
          <w:bCs/>
        </w:rPr>
        <w:t xml:space="preserve">No inference capability: </w:t>
      </w:r>
      <w:r>
        <w:t xml:space="preserve">The pipeline cannot infer clinical facts that are not explicitly stated. If the note says "blood sugar 425" but does not explicitly say "hyperglycemia," the pipeline does not add hyperglycemia. If the note mentions Glucophage but does not explicitly say "Type 2," the pipeline does not infer the diabetes type. All inferences require either graph traversal (Approach 3+KG) or LLM reasoning (Approach 4).</w:t>
      </w:r>
    </w:p>
    <w:p>
      <w:pPr>
        <w:spacing w:after="160" w:line="276"/>
      </w:pPr>
      <w:r>
        <w:t xml:space="preserve">These limitations are not bugs. They are the expected behavior of a sentence-level NER pipeline. Documenting them precisely is the purpose of the baseline: they define the gap that the context-aware approaches must close, and they provide the metrics against which improvement is measured.</w:t>
      </w:r>
    </w:p>
    <w:p>
      <w:pPr>
        <w:pStyle w:val="Heading1"/>
        <w:spacing w:before="240" w:after="120"/>
      </w:pPr>
      <w:r>
        <w:rPr>
          <w:b/>
          <w:bCs/>
        </w:rPr>
        <w:t xml:space="preserve">4. Approach 3+KG: Knowledge Graph Enrichment</w:t>
      </w:r>
    </w:p>
    <w:p>
      <w:pPr>
        <w:pStyle w:val="Heading2"/>
        <w:spacing w:before="240" w:after="120"/>
      </w:pPr>
      <w:r>
        <w:rPr>
          <w:b/>
          <w:bCs/>
        </w:rPr>
        <w:t xml:space="preserve">4.1 Design Rationale</w:t>
      </w:r>
    </w:p>
    <w:p>
      <w:pPr>
        <w:spacing w:after="160" w:line="276"/>
      </w:pPr>
      <w:r>
        <w:t xml:space="preserve">Approach 3+KG adds a structured reasoning layer between NER extraction and SNOMED resolution. A diabetes-specific knowledge graph encodes clinical relationships as typed, directed edges between medical concepts. Each edge carries an inference strength label that controls how the system treats the inferred fact.</w:t>
      </w:r>
    </w:p>
    <w:p>
      <w:pPr>
        <w:spacing w:after="160" w:line="276"/>
      </w:pPr>
      <w:r>
        <w:t xml:space="preserve">The rationale for using a knowledge graph rather than rules or heuristics is traceability. Every inference the system makes can be traced back to a specific edge in the graph, with a defined type, source, and strength. This makes the system auditable: a human reviewer can see exactly why the system concluded "hyperglycemia" from "blood sugar 425" and whether that inference is clinically justified.</w:t>
      </w:r>
    </w:p>
    <w:p>
      <w:pPr>
        <w:pStyle w:val="Heading2"/>
        <w:spacing w:before="240" w:after="120"/>
      </w:pPr>
      <w:r>
        <w:rPr>
          <w:b/>
          <w:bCs/>
        </w:rPr>
        <w:t xml:space="preserve">4.2 Knowledge Graph Structure</w:t>
      </w:r>
    </w:p>
    <w:p>
      <w:pPr>
        <w:spacing w:after="160" w:line="276"/>
      </w:pPr>
      <w:r>
        <w:t xml:space="preserve">The KG is a directed graph stored as JSON and loaded into NetworkX at runtime. For this POC scoped to diabetes, the graph contains approximately 30-50 nodes and 50-100 edges. It is small enough to inspect manually, which is a deliberate design choice for a POC.</w:t>
      </w:r>
    </w:p>
    <w:p>
      <w:pPr>
        <w:pStyle w:val="Heading3"/>
        <w:spacing w:before="240" w:after="120"/>
      </w:pPr>
      <w:r>
        <w:rPr>
          <w:b/>
          <w:bCs/>
        </w:rPr>
        <w:t xml:space="preserve">4.2.1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diagnosis or disease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Diabetes mellitus, Type 2 DM, Uncontrolled DM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condition caused by primary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Diabetic neuropathy, Diabetic CKD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symptom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Observable clinical finding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Numbness, Paresthesia, Polydipsia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Drug or drug class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Metformin, Glucophage, Insulin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lab_value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Laboratory test or vital sign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 glucose, HbA1c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lab_threshold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Clinically significant cutoff</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 glucose &gt; 400, HbA1c &gt; 9%</w:t>
            </w:r>
          </w:p>
        </w:tc>
      </w:tr>
    </w:tbl>
    <w:p>
      <w:pPr>
        <w:pStyle w:val="Heading3"/>
        <w:spacing w:before="240" w:after="120"/>
      </w:pPr>
      <w:r>
        <w:rPr>
          <w:b/>
          <w:bCs/>
        </w:rPr>
        <w:t xml:space="preserve">4.2.2 Edge Types with Inference Strength</w:t>
      </w:r>
    </w:p>
    <w:p>
      <w:pPr>
        <w:spacing w:after="160" w:line="276"/>
      </w:pPr>
      <w:r>
        <w:t xml:space="preserve">Every edge in the KG carries three properties: the relationship type, the inference strength, and the source (SNOMED relationship or custom clinical rule). The inference strength determines how the downstream pipeline treats the inferred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Edge</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diabetes -&gt; diabetic neuropathy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has_complication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(when both documented)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SNOMED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 glucose &gt; 400 -&gt; hyperglycemia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HbA1c &gt; 9% -&gt; uncontrolled diabetes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suggests_severity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metformin/Glucophage -&gt; Type 2 DM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implies_type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insulin -&gt; diabetes (type ambiguous)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treated_by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numbness + diabetes -&gt; diabetic neuropathy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has_complication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CKD + diabetes -&gt; diabetic CKD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has_complication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bl>
    <w:p>
      <w:pPr>
        <w:pStyle w:val="Heading3"/>
        <w:spacing w:before="240" w:after="120"/>
      </w:pPr>
      <w:r>
        <w:rPr>
          <w:b/>
          <w:bCs/>
        </w:rPr>
        <w:t xml:space="preserve">4.2.3 Inference Strength Model</w:t>
      </w:r>
    </w:p>
    <w:p>
      <w:pPr>
        <w:spacing w:after="160" w:line="276"/>
      </w:pPr>
      <w:r>
        <w:t xml:space="preserve">The three-tier inference strength model controls clinical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3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Pipeline 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Directly stated in the clinical note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assigned with needs_review = false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Supported by clinical evidence via a validated rule or KG edge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assigned with needs_review = true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Plausible but not guideline-justified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assigned with needs_review = true and flagged for manual review</w:t>
            </w:r>
          </w:p>
        </w:tc>
      </w:tr>
    </w:tbl>
    <w:p>
      <w:pPr>
        <w:spacing w:after="160" w:line="276"/>
      </w:pPr>
      <w:r>
        <w:t xml:space="preserve">A critical distinction: HbA1c &gt; 9% suggests uncontrolled diabetes per clinical guidelines, but it does not confirm it. Some organizations accept this as sufficient for coding E11.65; others require the physician to explicitly document "uncontrolled" or "with hyperglycemia" in their assessment. The strong_suggestion label communicates this ambiguity to the downstream reviewer without making the decision for them.</w:t>
      </w:r>
    </w:p>
    <w:p>
      <w:pPr>
        <w:pStyle w:val="Heading2"/>
        <w:spacing w:before="240" w:after="120"/>
      </w:pPr>
      <w:r>
        <w:rPr>
          <w:b/>
          <w:bCs/>
        </w:rPr>
        <w:t xml:space="preserve">4.3 KG Data Sources</w:t>
      </w:r>
    </w:p>
    <w:p>
      <w:pPr>
        <w:spacing w:after="160" w:line="276"/>
      </w:pPr>
      <w:r>
        <w:t xml:space="preserve">The KG is built from two sources, combined and manually reviewed.</w:t>
      </w:r>
    </w:p>
    <w:p>
      <w:pPr>
        <w:spacing w:after="160" w:line="276"/>
      </w:pPr>
      <w:r>
        <w:rPr>
          <w:b/>
          <w:bCs/>
        </w:rPr>
        <w:t xml:space="preserve">SNOMED CT US Edition (September 2025): </w:t>
      </w:r>
      <w:r>
        <w:t xml:space="preserve">The sct2_Relationship_Snapshot file provides formal medical relationships between SNOMED concepts. The extraction script filters to diabetes-related concept IDs and keeps relationship types including is_a, has_complication, finding_site, causative_agent, and associated_morphology. The sct2_Description_Snapshot file provides display names and synonyms for each concept. These files replace the UMLS Metathesaurus RRF files (MRCONSO, MRREL, MRHIER) originally planned, as the native SNOMED release is cleaner and does not require SAB filtering.</w:t>
      </w:r>
    </w:p>
    <w:p>
      <w:pPr>
        <w:spacing w:after="160" w:line="276"/>
      </w:pPr>
      <w:r>
        <w:rPr>
          <w:b/>
          <w:bCs/>
        </w:rPr>
        <w:t xml:space="preserve">Custom clinical rules: </w:t>
      </w:r>
      <w:r>
        <w:t xml:space="preserve">Manually authored rules that encode clinical knowledge not present in SNOMED's formal ontology. These cover lab value thresholds (blood glucose &gt; 400 implies hyperglycemia), medication-to-type mappings (Glucophage implies Type 2), and multi-entity inferences (numbness + diabetes implies diabetic neuropathy). Each custom rule has a defined inference strength.</w:t>
      </w:r>
    </w:p>
    <w:p>
      <w:pPr>
        <w:pStyle w:val="Heading2"/>
        <w:spacing w:before="240" w:after="120"/>
      </w:pPr>
      <w:r>
        <w:rPr>
          <w:b/>
          <w:bCs/>
        </w:rPr>
        <w:t xml:space="preserve">4.4 Graph Traversal Logic</w:t>
      </w:r>
    </w:p>
    <w:p>
      <w:pPr>
        <w:spacing w:after="160" w:line="276"/>
      </w:pPr>
      <w:r>
        <w:t xml:space="preserve">The graph enricher receives all NER entities extracted from the note and performs the following reasoning steps:</w:t>
      </w:r>
    </w:p>
    <w:p>
      <w:pPr>
        <w:spacing w:after="160" w:line="276"/>
      </w:pPr>
      <w:r>
        <w:rPr>
          <w:b/>
          <w:bCs/>
        </w:rPr>
        <w:t xml:space="preserve">Step 1 - Entity-to-node matching: </w:t>
      </w:r>
      <w:r>
        <w:t xml:space="preserve">Each NER entity is matched to a node in the KG. This uses the same semantic resolver (SapBERT embeddings, cosine similarity) that Approach 3 uses for SNOMED resolution. If an entity matches a KG node with confidence above the threshold, it is considered "activated" in the graph.</w:t>
      </w:r>
    </w:p>
    <w:p>
      <w:pPr>
        <w:spacing w:after="160" w:line="276"/>
      </w:pPr>
      <w:r>
        <w:rPr>
          <w:b/>
          <w:bCs/>
        </w:rPr>
        <w:t xml:space="preserve">Step 2 - Severity inference: </w:t>
      </w:r>
      <w:r>
        <w:t xml:space="preserve">For activated lab_value nodes, check if the extracted value exceeds any lab_threshold node connected by an indicated_by edge. If blood glucose is extracted with value 425 and the KG has an edge "blood glucose &gt; 400 -&gt; hyperglycemia" with strength strong_suggestion, the system infers hyperglycemia.</w:t>
      </w:r>
    </w:p>
    <w:p>
      <w:pPr>
        <w:spacing w:after="160" w:line="276"/>
      </w:pPr>
      <w:r>
        <w:rPr>
          <w:b/>
          <w:bCs/>
        </w:rPr>
        <w:t xml:space="preserve">Step 3 - Type inference: </w:t>
      </w:r>
      <w:r>
        <w:t xml:space="preserve">For activated medication nodes, traverse implies_type edges. If Glucophage or metformin is present, the system infers Type 2 DM with strength strong_suggestion. If only insulin is present with no oral medications, the type remains ambiguous (weak).</w:t>
      </w:r>
    </w:p>
    <w:p>
      <w:pPr>
        <w:spacing w:after="160" w:line="276"/>
      </w:pPr>
      <w:r>
        <w:rPr>
          <w:b/>
          <w:bCs/>
        </w:rPr>
        <w:t xml:space="preserve">Step 4 - Complication inference: </w:t>
      </w:r>
      <w:r>
        <w:t xml:space="preserve">For activated symptom nodes, check if a has_complication edge exists connecting the symptom + a condition to a complication. This requires both the symptom and the condition to be activated. Numbness alone does not infer diabetic neuropathy; numbness + diabetes together do.</w:t>
      </w:r>
    </w:p>
    <w:p>
      <w:pPr>
        <w:spacing w:after="160" w:line="276"/>
      </w:pPr>
      <w:r>
        <w:rPr>
          <w:b/>
          <w:bCs/>
        </w:rPr>
        <w:t xml:space="preserve">Step 5 - Build enriched entities: </w:t>
      </w:r>
      <w:r>
        <w:t xml:space="preserve">Each inference is wrapped in an EnrichedEntity with the original entity, the enriched condition description, the inference strength from the KG edge, the evidence spans (character offsets from the note), and a reasoning trail documenting the traversal path.</w:t>
      </w:r>
    </w:p>
    <w:p>
      <w:pPr>
        <w:pStyle w:val="Heading2"/>
        <w:spacing w:before="240" w:after="120"/>
      </w:pPr>
      <w:r>
        <w:rPr>
          <w:b/>
          <w:bCs/>
        </w:rPr>
        <w:t xml:space="preserve">4.5 Why This Design</w:t>
      </w:r>
    </w:p>
    <w:p>
      <w:pPr>
        <w:spacing w:after="160" w:line="276"/>
      </w:pPr>
      <w:r>
        <w:t xml:space="preserve">Three properties make the KG approach suitable for clinical coding:</w:t>
      </w:r>
    </w:p>
    <w:p>
      <w:pPr>
        <w:spacing w:after="160" w:line="276"/>
      </w:pPr>
      <w:r>
        <w:rPr>
          <w:b/>
          <w:bCs/>
        </w:rPr>
        <w:t xml:space="preserve">Deterministic: </w:t>
      </w:r>
      <w:r>
        <w:t xml:space="preserve">Given the same note and the same KG, the system always produces the same output. There is no randomness, no temperature parameter, no variation between runs. This is critical for auditability in healthcare.</w:t>
      </w:r>
    </w:p>
    <w:p>
      <w:pPr>
        <w:spacing w:after="160" w:line="276"/>
      </w:pPr>
      <w:r>
        <w:rPr>
          <w:b/>
          <w:bCs/>
        </w:rPr>
        <w:t xml:space="preserve">Explainable: </w:t>
      </w:r>
      <w:r>
        <w:t xml:space="preserve">Every code can be traced to a specific graph traversal path. A reviewer can ask "why E11.65?" and receive the answer: "Diabetes mellitus (PMH, char 629) + blood glucose 425 (HPI, char 312) -&gt; blood glucose &gt; 400 -&gt; hyperglycemia (indicated_by, strong_suggestion) -&gt; E11.65 via crosswalk." No black box.</w:t>
      </w:r>
    </w:p>
    <w:p>
      <w:pPr>
        <w:spacing w:after="160" w:line="276"/>
      </w:pPr>
      <w:r>
        <w:rPr>
          <w:b/>
          <w:bCs/>
        </w:rPr>
        <w:t xml:space="preserve">Controllable: </w:t>
      </w:r>
      <w:r>
        <w:t xml:space="preserve">Organization-specific coding policies can be encoded by adjusting edge strengths or adding new rules. If an organization requires physician documentation for "uncontrolled" and does not accept lab values alone, the HbA1c edge strength can be changed from strong_suggestion to weak, which changes the needs_review flag but not the code.</w:t>
      </w:r>
    </w:p>
    <w:p>
      <w:pPr>
        <w:pStyle w:val="Heading2"/>
        <w:spacing w:before="240" w:after="120"/>
      </w:pPr>
      <w:r>
        <w:rPr>
          <w:b/>
          <w:bCs/>
        </w:rPr>
        <w:t xml:space="preserve">4.6 Limitations</w:t>
      </w:r>
    </w:p>
    <w:p>
      <w:pPr>
        <w:spacing w:after="160" w:line="276"/>
      </w:pPr>
      <w:r>
        <w:t xml:space="preserve">The KG approach has two primary limitations. First, it only knows what is encoded in the graph. If a clinical relationship is not present as an edge, the system cannot infer it. This means the graph must be built and reviewed for each clinical domain, which requires clinical expertise and manual effort. Second, it cannot handle novel or ambiguous clinical language. If a physician writes "sugars have been through the roof" instead of "blood glucose 425," the NER may not extract a lab value, and the KG has nothing to traverse.</w:t>
      </w:r>
    </w:p>
    <w:p>
      <w:pPr>
        <w:pStyle w:val="Heading1"/>
        <w:spacing w:before="240" w:after="120"/>
      </w:pPr>
      <w:r>
        <w:rPr>
          <w:b/>
          <w:bCs/>
        </w:rPr>
        <w:t xml:space="preserve">5. Approach 4: LLM Context Enrichment</w:t>
      </w:r>
    </w:p>
    <w:p>
      <w:pPr>
        <w:pStyle w:val="Heading2"/>
        <w:spacing w:before="240" w:after="120"/>
      </w:pPr>
      <w:r>
        <w:rPr>
          <w:b/>
          <w:bCs/>
        </w:rPr>
        <w:t xml:space="preserve">5.1 Design Rationale</w:t>
      </w:r>
    </w:p>
    <w:p>
      <w:pPr>
        <w:spacing w:after="160" w:line="276"/>
      </w:pPr>
      <w:r>
        <w:t xml:space="preserve">Approach 4 replaces the structured KG traversal with a local LLM that reads the full clinical note alongside the NER-extracted entities. The LLM is prompted to enrich each entity with type specificity, severity, complications, and evidence citations. It produces the same EnrichedEntity output as Approach 3+KG but arrives there through natural language understanding rather than graph traversal.</w:t>
      </w:r>
    </w:p>
    <w:p>
      <w:pPr>
        <w:spacing w:after="160" w:line="276"/>
      </w:pPr>
      <w:r>
        <w:t xml:space="preserve">The rationale for including an LLM approach alongside the KG is flexibility. The KG requires every possible inference to be pre-encoded as an edge. The LLM can reason about clinical relationships it was not explicitly taught, handle ambiguous language, and adapt to note structures it has not seen before. The trade-off is that LLM outputs are non-deterministic and may contain hallucinations.</w:t>
      </w:r>
    </w:p>
    <w:p>
      <w:pPr>
        <w:pStyle w:val="Heading2"/>
        <w:spacing w:before="240" w:after="120"/>
      </w:pPr>
      <w:r>
        <w:rPr>
          <w:b/>
          <w:bCs/>
        </w:rPr>
        <w:t xml:space="preserve">5.2 LLM Runtime</w:t>
      </w:r>
    </w:p>
    <w:p>
      <w:pPr>
        <w:spacing w:after="160" w:line="276"/>
      </w:pPr>
      <w:r>
        <w:t xml:space="preserve">All LLM inference runs locally via Ollama. No data leaves the machine. The LLM factory supports two models: Qwen 2.5 7B (default) and Llama 3.1 8B (benchmark alternative). Both run acceptably on CPU with quantized weights. The choice of local inference is driven by healthcare data sensitivity; clinical notes cannot be sent to external APIs.</w:t>
      </w:r>
    </w:p>
    <w:p>
      <w:pPr>
        <w:pStyle w:val="Heading2"/>
        <w:spacing w:before="240" w:after="120"/>
      </w:pPr>
      <w:r>
        <w:rPr>
          <w:b/>
          <w:bCs/>
        </w:rPr>
        <w:t xml:space="preserve">5.3 Prompt Design</w:t>
      </w:r>
    </w:p>
    <w:p>
      <w:pPr>
        <w:spacing w:after="160" w:line="276"/>
      </w:pPr>
      <w:r>
        <w:t xml:space="preserve">The LLM receives two inputs: the full clinical note text and the list of NER-extracted entities in JSON format. The prompt instructs the LLM to act as a clinical coding specialist and enrich each entity for ICD-10 coding specificity. Critical constraints in the prompt:</w:t>
      </w:r>
    </w:p>
    <w:p>
      <w:pPr>
        <w:pStyle w:val="ListParagraph"/>
        <w:numPr>
          <w:ilvl w:val="0"/>
          <w:numId w:val="2"/>
        </w:numPr>
        <w:spacing w:after="80" w:line="276"/>
      </w:pPr>
      <w:r>
        <w:rPr>
          <w:rFonts w:ascii="Arial" w:cs="Arial" w:eastAsia="Arial" w:hAnsi="Arial"/>
          <w:sz w:val="22"/>
          <w:szCs w:val="22"/>
        </w:rPr>
        <w:t xml:space="preserve">Only infer what the note clinically supports</w:t>
      </w:r>
    </w:p>
    <w:p>
      <w:pPr>
        <w:pStyle w:val="ListParagraph"/>
        <w:numPr>
          <w:ilvl w:val="0"/>
          <w:numId w:val="2"/>
        </w:numPr>
        <w:spacing w:after="80" w:line="276"/>
      </w:pPr>
      <w:r>
        <w:rPr>
          <w:rFonts w:ascii="Arial" w:cs="Arial" w:eastAsia="Arial" w:hAnsi="Arial"/>
          <w:sz w:val="22"/>
          <w:szCs w:val="22"/>
        </w:rPr>
        <w:t xml:space="preserve">Cite exact quotes from the note as evidence for each inference</w:t>
      </w:r>
    </w:p>
    <w:p>
      <w:pPr>
        <w:pStyle w:val="ListParagraph"/>
        <w:numPr>
          <w:ilvl w:val="0"/>
          <w:numId w:val="2"/>
        </w:numPr>
        <w:spacing w:after="80" w:line="276"/>
      </w:pPr>
      <w:r>
        <w:rPr>
          <w:rFonts w:ascii="Arial" w:cs="Arial" w:eastAsia="Arial" w:hAnsi="Arial"/>
          <w:sz w:val="22"/>
          <w:szCs w:val="22"/>
        </w:rPr>
        <w:t xml:space="preserve">Say "insufficient information" if a determination cannot be made</w:t>
      </w:r>
    </w:p>
    <w:p>
      <w:pPr>
        <w:pStyle w:val="ListParagraph"/>
        <w:numPr>
          <w:ilvl w:val="0"/>
          <w:numId w:val="2"/>
        </w:numPr>
        <w:spacing w:after="80" w:line="276"/>
      </w:pPr>
      <w:r>
        <w:rPr>
          <w:rFonts w:ascii="Arial" w:cs="Arial" w:eastAsia="Arial" w:hAnsi="Arial"/>
          <w:sz w:val="22"/>
          <w:szCs w:val="22"/>
        </w:rPr>
        <w:t xml:space="preserve">Do not invent conditions not present in the note</w:t>
      </w:r>
    </w:p>
    <w:p>
      <w:pPr>
        <w:pStyle w:val="ListParagraph"/>
        <w:numPr>
          <w:ilvl w:val="0"/>
          <w:numId w:val="2"/>
        </w:numPr>
        <w:spacing w:after="80" w:line="276"/>
      </w:pPr>
      <w:r>
        <w:rPr>
          <w:rFonts w:ascii="Arial" w:cs="Arial" w:eastAsia="Arial" w:hAnsi="Arial"/>
          <w:sz w:val="22"/>
          <w:szCs w:val="22"/>
        </w:rPr>
        <w:t xml:space="preserve">Do not infer laterality unless the note explicitly states it</w:t>
      </w:r>
    </w:p>
    <w:p>
      <w:pPr>
        <w:pStyle w:val="ListParagraph"/>
        <w:numPr>
          <w:ilvl w:val="0"/>
          <w:numId w:val="2"/>
        </w:numPr>
        <w:spacing w:after="80" w:line="276"/>
      </w:pPr>
      <w:r>
        <w:rPr>
          <w:rFonts w:ascii="Arial" w:cs="Arial" w:eastAsia="Arial" w:hAnsi="Arial"/>
          <w:sz w:val="22"/>
          <w:szCs w:val="22"/>
        </w:rPr>
        <w:t xml:space="preserve">Do not infer complications unless directly linked by clinical evidence in the note</w:t>
      </w:r>
    </w:p>
    <w:p>
      <w:pPr>
        <w:spacing w:after="160" w:line="276"/>
      </w:pPr>
      <w:r>
        <w:t xml:space="preserve">The prompt requests structured JSON output with fields for the enriched condition, type, severity, complications, evidence citations, and confidence. This structured output is parsed programmatically for downstream processing.</w:t>
      </w:r>
    </w:p>
    <w:p>
      <w:pPr>
        <w:pStyle w:val="Heading2"/>
        <w:spacing w:before="240" w:after="120"/>
      </w:pPr>
      <w:r>
        <w:rPr>
          <w:b/>
          <w:bCs/>
        </w:rPr>
        <w:t xml:space="preserve">5.4 Two-Layer Validation</w:t>
      </w:r>
    </w:p>
    <w:p>
      <w:pPr>
        <w:spacing w:after="160" w:line="276"/>
      </w:pPr>
      <w:r>
        <w:t xml:space="preserve">LLMs hallucinate. In a clinical coding context, a hallucinated inference means a wrong billing code, which has compliance and patient safety implications. Two validation layers catch different failure modes.</w:t>
      </w:r>
    </w:p>
    <w:p>
      <w:pPr>
        <w:pStyle w:val="Heading3"/>
        <w:spacing w:before="240" w:after="120"/>
      </w:pPr>
      <w:r>
        <w:rPr>
          <w:b/>
          <w:bCs/>
        </w:rPr>
        <w:t xml:space="preserve">5.4.1 Layer 1: Evidence Existence Check</w:t>
      </w:r>
    </w:p>
    <w:p>
      <w:pPr>
        <w:spacing w:after="160" w:line="276"/>
      </w:pPr>
      <w:r>
        <w:t xml:space="preserve">For each evidence span the LLM cites, the system checks whether that text actually appears in the clinical note. This uses fuzzy string matching (not exact match, because the LLM may paraphrase slightly) against the original note text. If the LLM cites "HbA1c of 11.1%" as evidence and that string (or a close variant) exists in the note, the evidence passes. If the LLM cites "patient reports frequent hypoglycemic episodes" and no such text exists, the entire enrichment is rejected.</w:t>
      </w:r>
    </w:p>
    <w:p>
      <w:pPr>
        <w:spacing w:after="160" w:line="276"/>
      </w:pPr>
      <w:r>
        <w:t xml:space="preserve">Layer 1 catches fabricated evidence. It answers the question: does the LLM's cited source material actually exist?</w:t>
      </w:r>
    </w:p>
    <w:p>
      <w:pPr>
        <w:pStyle w:val="Heading3"/>
        <w:spacing w:before="240" w:after="120"/>
      </w:pPr>
      <w:r>
        <w:rPr>
          <w:b/>
          <w:bCs/>
        </w:rPr>
        <w:t xml:space="preserve">5.4.2 Layer 2: Inference Validity Check</w:t>
      </w:r>
    </w:p>
    <w:p>
      <w:pPr>
        <w:spacing w:after="160" w:line="276"/>
      </w:pPr>
      <w:r>
        <w:t xml:space="preserve">Layer 1 only checks that the evidence exists. It does not check whether the evidence supports the conclusion. An LLM could cite real text ("HbA1c 11.1%") but draw an invalid conclusion ("diabetic neuropathy"). HbA1c is a glycemic control marker, not a neuropathy indicator; citing it as evidence for neuropathy is clinically invalid even though the evidence text is real.</w:t>
      </w:r>
    </w:p>
    <w:p>
      <w:pPr>
        <w:spacing w:after="160" w:line="276"/>
      </w:pPr>
      <w:r>
        <w:t xml:space="preserve">Layer 2 uses the Knowledge Graph as an allowed-inference rulebook. For each LLM inference, the system checks whether a valid path exists in the KG from the evidence to the conclusion. If the KG contains an edge from hba1c_high to uncontrolled_diabetes (suggests_severity), then "HbA1c 11.1% -&gt; uncontrolled diabetes" is a valid inference. If the KG has no path from hba1c to neuropathy, then "HbA1c 11.1% -&gt; diabetic neuropathy" is rejected.</w:t>
      </w:r>
    </w:p>
    <w:p>
      <w:pPr>
        <w:spacing w:after="160" w:line="276"/>
      </w:pPr>
      <w:r>
        <w:t xml:space="preserve">The inference strength from the matching KG edge propagates to the enriched entity. This means the KG serves a dual purpose: it is the enrichment engine for Approach 3+KG and the validation rulebook for Approach 4.</w:t>
      </w:r>
    </w:p>
    <w:p>
      <w:pPr>
        <w:pStyle w:val="Heading2"/>
        <w:spacing w:before="240" w:after="120"/>
      </w:pPr>
      <w:r>
        <w:rPr>
          <w:b/>
          <w:bCs/>
        </w:rPr>
        <w:t xml:space="preserve">5.5 Why Two Layers</w:t>
      </w:r>
    </w:p>
    <w:p>
      <w:pPr>
        <w:spacing w:after="160" w:line="276"/>
      </w:pPr>
      <w:r>
        <w:t xml:space="preserve">Neither layer alone is sufficient.</w:t>
      </w:r>
    </w:p>
    <w:p>
      <w:pPr>
        <w:spacing w:after="160" w:line="276"/>
      </w:pPr>
      <w:r>
        <w:rPr>
          <w:b/>
          <w:bCs/>
        </w:rPr>
        <w:t xml:space="preserve">Layer 1 alone: </w:t>
      </w:r>
      <w:r>
        <w:t xml:space="preserve">Catches fabricated evidence but passes clinically invalid reasoning. The LLM can cite real text and still draw a wrong conclusion.</w:t>
      </w:r>
    </w:p>
    <w:p>
      <w:pPr>
        <w:spacing w:after="160" w:line="276"/>
      </w:pPr>
      <w:r>
        <w:rPr>
          <w:b/>
          <w:bCs/>
        </w:rPr>
        <w:t xml:space="preserve">Layer 2 alone: </w:t>
      </w:r>
      <w:r>
        <w:t xml:space="preserve">Catches invalid reasoning paths but cannot detect whether the evidence the LLM claims to have seen actually exists in the note. The LLM could invent a plausible evidence span that happens to align with a valid KG path.</w:t>
      </w:r>
    </w:p>
    <w:p>
      <w:pPr>
        <w:spacing w:after="160" w:line="276"/>
      </w:pPr>
      <w:r>
        <w:t xml:space="preserve">Together, they enforce: the evidence must exist in the note (Layer 1) AND the reasoning from that evidence to the conclusion must be clinically valid per the KG (Layer 2).</w:t>
      </w:r>
    </w:p>
    <w:p>
      <w:pPr>
        <w:pStyle w:val="Heading2"/>
        <w:spacing w:before="240" w:after="120"/>
      </w:pPr>
      <w:r>
        <w:rPr>
          <w:b/>
          <w:bCs/>
        </w:rPr>
        <w:t xml:space="preserve">5.6 Dependency on the KG</w:t>
      </w:r>
    </w:p>
    <w:p>
      <w:pPr>
        <w:spacing w:after="160" w:line="276"/>
      </w:pPr>
      <w:r>
        <w:t xml:space="preserve">Approach 4 depends on the KG for Layer 2 validation. This means the KG must be built before Approach 4 can run with full validation. If the KG is not available, Approach 4 can still run with Layer 1 only, but the clinical validity of its inferences is unverified. The phasing of the POC reflects this: Approach 3+KG (Phase 3) is built before Approach 4 (Phase 4).</w:t>
      </w:r>
    </w:p>
    <w:p>
      <w:pPr>
        <w:spacing w:after="160" w:line="276"/>
      </w:pPr>
      <w:r>
        <w:t xml:space="preserve">This dependency also means that Approach 4 is constrained by the KG's coverage. If the KG does not contain an edge for a particular inference, Layer 2 will reject it even if the inference is clinically valid. This is a conservative design choice: it is safer to reject a valid inference than to accept an invalid one in a clinical coding context.</w:t>
      </w:r>
    </w:p>
    <w:p>
      <w:pPr>
        <w:pStyle w:val="Heading2"/>
        <w:spacing w:before="240" w:after="120"/>
      </w:pPr>
      <w:r>
        <w:rPr>
          <w:b/>
          <w:bCs/>
        </w:rPr>
        <w:t xml:space="preserve">5.7 Limitations</w:t>
      </w:r>
    </w:p>
    <w:p>
      <w:pPr>
        <w:spacing w:after="160" w:line="276"/>
      </w:pPr>
      <w:r>
        <w:t xml:space="preserve">Three limitations are specific to Approach 4. First, LLM output is non-deterministic. The same note processed twice may produce slightly different enrichments, which complicates reproducibility and auditing. Second, latency is significantly higher than the KG approach; a 7B parameter model on CPU adds seconds per note versus milliseconds for graph traversal. Third, the quality of enrichment is bounded by the LLM's medical knowledge, which may contain inaccuracies or outdated information that the validation layers cannot catch if the KG also lacks the relevant edges.</w:t>
      </w:r>
    </w:p>
    <w:p>
      <w:pPr>
        <w:pStyle w:val="Heading1"/>
        <w:spacing w:before="240" w:after="120"/>
      </w:pPr>
      <w:r>
        <w:rPr>
          <w:b/>
          <w:bCs/>
        </w:rPr>
        <w:t xml:space="preserve">6. Comparing the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380"/>
        <w:gridCol w:w="268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Approach 3</w:t>
            </w:r>
          </w:p>
        </w:tc>
        <w:tc>
          <w:tcPr>
            <w:tcW w:type="dxa" w:w="23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Approach 3+KG</w:t>
            </w:r>
          </w:p>
        </w:tc>
        <w:tc>
          <w:tcPr>
            <w:tcW w:type="dxa" w:w="2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Approach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Enrichment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(pass-through)</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traversal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reads full note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Deterministic</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Explainability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(direct extraction)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(traced to KG edge)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(LLM reasoning, validated by KG)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Cross-section context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(via entity activation)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(via full note reading)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Coverage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explicit mentions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to KG edges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 but may hallucinate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 risk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 mitigated by two-layer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Latency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Milliseconds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Milliseconds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Seconds (LLM on CPU)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specificity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(unspecified codes)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(inferred specificity)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(inferred specificity)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 + embedding models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 + embeddings + KG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 + embeddings + KG + LLM</w:t>
            </w:r>
          </w:p>
        </w:tc>
      </w:tr>
    </w:tbl>
    <w:p>
      <w:pPr>
        <w:spacing w:after="160" w:line="276"/>
      </w:pPr>
      <w:r>
        <w:t xml:space="preserve">The POC benchmarks all three approaches against each other and against ground truth. The expected outcome is that both context-aware approaches produce more specific codes than the baseline, with the KG approach being more precise and the LLM approach having broader coverage but requiring more validation overhead.</w:t>
      </w:r>
    </w:p>
    <w:p>
      <w:pPr>
        <w:pStyle w:val="Heading1"/>
        <w:spacing w:before="240" w:after="120"/>
      </w:pPr>
      <w:r>
        <w:rPr>
          <w:b/>
          <w:bCs/>
        </w:rPr>
        <w:t xml:space="preserve">7. The Knowledge Graph as Shared Infrastructure</w:t>
      </w:r>
    </w:p>
    <w:p>
      <w:pPr>
        <w:spacing w:after="160" w:line="276"/>
      </w:pPr>
      <w:r>
        <w:t xml:space="preserve">A key architectural decision in this POC is that the KG is not just an enrichment engine for one approach. It serves as shared infrastructure across the system:</w:t>
      </w:r>
    </w:p>
    <w:p>
      <w:pPr>
        <w:spacing w:after="160" w:line="276"/>
      </w:pPr>
      <w:r>
        <w:rPr>
          <w:b/>
          <w:bCs/>
        </w:rPr>
        <w:t xml:space="preserve">For Approach 3+KG: </w:t>
      </w:r>
      <w:r>
        <w:t xml:space="preserve">The KG is the enrichment engine. It defines what inferences are possible and at what strength.</w:t>
      </w:r>
    </w:p>
    <w:p>
      <w:pPr>
        <w:spacing w:after="160" w:line="276"/>
      </w:pPr>
      <w:r>
        <w:rPr>
          <w:b/>
          <w:bCs/>
        </w:rPr>
        <w:t xml:space="preserve">For Approach 4: </w:t>
      </w:r>
      <w:r>
        <w:t xml:space="preserve">The KG is the validation rulebook. It constrains what the LLM is allowed to infer, even though the LLM does the actual reasoning.</w:t>
      </w:r>
    </w:p>
    <w:p>
      <w:pPr>
        <w:spacing w:after="160" w:line="276"/>
      </w:pPr>
      <w:r>
        <w:rPr>
          <w:b/>
          <w:bCs/>
        </w:rPr>
        <w:t xml:space="preserve">For all approaches: </w:t>
      </w:r>
      <w:r>
        <w:t xml:space="preserve">The inference strength model encoded in the KG edges defines the needs_review behavior across the entire system. Whether an inference comes from graph traversal or LLM reasoning, its strength is determined by the corresponding KG edge.</w:t>
      </w:r>
    </w:p>
    <w:p>
      <w:pPr>
        <w:spacing w:after="160" w:line="276"/>
      </w:pPr>
      <w:r>
        <w:t xml:space="preserve">This design means that improving the KG improves all approaches simultaneously. Adding a new edge to the KG gives Approach 3+KG a new inference capability and gives Approach 4 a new validation path. Adjusting an edge's strength changes the needs_review behavior for both approaches.</w:t>
      </w:r>
    </w:p>
    <w:p>
      <w:pPr>
        <w:pStyle w:val="Heading1"/>
        <w:spacing w:before="240" w:after="120"/>
      </w:pPr>
      <w:r>
        <w:rPr>
          <w:b/>
          <w:bCs/>
        </w:rPr>
        <w:t xml:space="preserve">8. Clinical Safety Design</w:t>
      </w:r>
    </w:p>
    <w:p>
      <w:pPr>
        <w:spacing w:after="160" w:line="276"/>
      </w:pPr>
      <w:r>
        <w:t xml:space="preserve">All three approaches enforce clinical safety, though the mechanisms differ by approach.</w:t>
      </w:r>
    </w:p>
    <w:p>
      <w:pPr>
        <w:pStyle w:val="Heading2"/>
        <w:spacing w:before="240" w:after="120"/>
      </w:pPr>
      <w:r>
        <w:rPr>
          <w:b/>
          <w:bCs/>
        </w:rPr>
        <w:t xml:space="preserve">8.1 Overcoding Prevention</w:t>
      </w:r>
    </w:p>
    <w:p>
      <w:pPr>
        <w:spacing w:after="160" w:line="276"/>
      </w:pPr>
      <w:r>
        <w:t xml:space="preserve">Overcoding occurs when a code is assigned at a higher specificity than the evidence supports. For example, assigning E11.65 (with hyperglycemia) when the note only documents "diabetes mellitus" without any hyperglycemia evidence.</w:t>
      </w:r>
    </w:p>
    <w:p>
      <w:pPr>
        <w:spacing w:after="160" w:line="276"/>
      </w:pPr>
      <w:r>
        <w:rPr>
          <w:b/>
          <w:bCs/>
        </w:rPr>
        <w:t xml:space="preserve">Approach 3: </w:t>
      </w:r>
      <w:r>
        <w:t xml:space="preserve">Cannot overcode by design. It only captures what NER extracts, which is limited to explicit mentions. The risk is undercoding, not overcoding.</w:t>
      </w:r>
    </w:p>
    <w:p>
      <w:pPr>
        <w:spacing w:after="160" w:line="276"/>
      </w:pPr>
      <w:r>
        <w:rPr>
          <w:b/>
          <w:bCs/>
        </w:rPr>
        <w:t xml:space="preserve">Approach 3+KG: </w:t>
      </w:r>
      <w:r>
        <w:t xml:space="preserve">The graph enricher only produces an enriched entity if a valid traversal path exists. No edge from "diabetes mellitus" alone to "hyperglycemia" means no enrichment to E11.65. The system cannot overcode because the graph does not permit it.</w:t>
      </w:r>
    </w:p>
    <w:p>
      <w:pPr>
        <w:spacing w:after="160" w:line="276"/>
      </w:pPr>
      <w:r>
        <w:rPr>
          <w:b/>
          <w:bCs/>
        </w:rPr>
        <w:t xml:space="preserve">Approach 4: </w:t>
      </w:r>
      <w:r>
        <w:t xml:space="preserve">The LLM might overcode (it has no structural constraint). Layer 2 validation catches this by requiring a valid KG path for every inference. If the LLM claims hyperglycemia without evidence connected to hyperglycemia in the KG, the inference is rejected.</w:t>
      </w:r>
    </w:p>
    <w:p>
      <w:pPr>
        <w:pStyle w:val="Heading2"/>
        <w:spacing w:before="240" w:after="120"/>
      </w:pPr>
      <w:r>
        <w:rPr>
          <w:b/>
          <w:bCs/>
        </w:rPr>
        <w:t xml:space="preserve">8.2 Inference Transparency</w:t>
      </w:r>
    </w:p>
    <w:p>
      <w:pPr>
        <w:spacing w:after="160" w:line="276"/>
      </w:pPr>
      <w:r>
        <w:t xml:space="preserve">Every code in the output carries an inference_strength field and a needs_review flag. This transparency serves two purposes: it tells the human reviewer which codes were inferred versus explicitly documented, and it provides the reasoning trail for each inference so the reviewer can verify the clinical logic.</w:t>
      </w:r>
    </w:p>
    <w:p>
      <w:pPr>
        <w:pStyle w:val="Heading2"/>
        <w:spacing w:before="240" w:after="120"/>
      </w:pPr>
      <w:r>
        <w:rPr>
          <w:b/>
          <w:bCs/>
        </w:rPr>
        <w:t xml:space="preserve">8.3 Safety Metrics</w:t>
      </w:r>
    </w:p>
    <w:p>
      <w:pPr>
        <w:spacing w:after="160" w:line="276"/>
      </w:pPr>
      <w:r>
        <w:t xml:space="preserve">The evaluation framework tracks clinical safety metrics alongside standard coding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validity error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Inferences where evidence exists but does not support the conclusion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approaches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Overcoding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Codes assigned at higher specificity than evidence supports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Approach 3+KG, Approach 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Undercoding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Codes where more specific code was justified but not assigned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approaches (primary concern for Approach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Unsupported inference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Enrichments not backed by explicit mention or validated KG edge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Approach 3+KG, Approach 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enrichments rejected by Layer 1 or Layer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Approach 4 only</w:t>
            </w:r>
          </w:p>
        </w:tc>
      </w:tr>
    </w:tbl>
    <w:p>
      <w:pPr>
        <w:pStyle w:val="Heading1"/>
        <w:spacing w:before="240" w:after="120"/>
      </w:pPr>
      <w:r>
        <w:rPr>
          <w:b/>
          <w:bCs/>
        </w:rPr>
        <w:t xml:space="preserve">9. Example Walkthrough: Note 1</w:t>
      </w:r>
    </w:p>
    <w:p>
      <w:pPr>
        <w:spacing w:after="160" w:line="276"/>
      </w:pPr>
      <w:r>
        <w:t xml:space="preserve">Note 1 (Amazon 109224) describes a patient with diabetes mellitus, uncontrolled, with blood sugar of 425 mg/dL and daily insulin injections. The expected codes are E11.65 (Type 2 DM with hyperglycemia) and Z79.4 (long-term insulin use).</w:t>
      </w:r>
    </w:p>
    <w:p>
      <w:pPr>
        <w:pStyle w:val="Heading2"/>
        <w:spacing w:before="240" w:after="120"/>
      </w:pPr>
      <w:r>
        <w:rPr>
          <w:b/>
          <w:bCs/>
        </w:rPr>
        <w:t xml:space="preserve">9.1 Approach 3 Baseline Result</w:t>
      </w:r>
    </w:p>
    <w:p>
      <w:pPr>
        <w:spacing w:after="160" w:line="276"/>
      </w:pPr>
      <w:r>
        <w:t xml:space="preserve">The baseline extracts "Diabetes mellitus" and "insulin" as separate entities. Without context enrichment, "Diabetes mellitus" resolves to SNOMED 73211009 and maps to E11.9 (Type 2 DM, unspecified). The system correctly identifies the condition but cannot determine severity or hyperglycemia because "blood sugar 425" appears in a different section and is not linked to the diabetes entity. The baseline produces E11.9 instead of the expected E11.65.</w:t>
      </w:r>
    </w:p>
    <w:p>
      <w:pPr>
        <w:pStyle w:val="Heading2"/>
        <w:spacing w:before="240" w:after="120"/>
      </w:pPr>
      <w:r>
        <w:rPr>
          <w:b/>
          <w:bCs/>
        </w:rPr>
        <w:t xml:space="preserve">9.2 Approach 3+KG Result</w:t>
      </w:r>
    </w:p>
    <w:p>
      <w:pPr>
        <w:spacing w:after="160" w:line="276"/>
      </w:pPr>
      <w:r>
        <w:t xml:space="preserve">The graph enricher receives all extracted entities including "diabetes mellitus" (PMH), "blood sugar" with value 425 (HPI), and "insulin" (HPI). The traversal proceeds:</w:t>
      </w:r>
    </w:p>
    <w:p>
      <w:pPr>
        <w:pStyle w:val="ListParagraph"/>
        <w:numPr>
          <w:ilvl w:val="0"/>
          <w:numId w:val="3"/>
        </w:numPr>
        <w:spacing w:after="80" w:line="276"/>
      </w:pPr>
      <w:r>
        <w:rPr>
          <w:rFonts w:ascii="Arial" w:cs="Arial" w:eastAsia="Arial" w:hAnsi="Arial"/>
          <w:sz w:val="22"/>
          <w:szCs w:val="22"/>
        </w:rPr>
        <w:t xml:space="preserve">"blood sugar" with value 425 activates the lab_value node. 425 &gt; 400 triggers the edge "blood glucose &gt; 400 -&gt; hyperglycemia" with strength strong_suggestion.</w:t>
      </w:r>
    </w:p>
    <w:p>
      <w:pPr>
        <w:pStyle w:val="ListParagraph"/>
        <w:numPr>
          <w:ilvl w:val="0"/>
          <w:numId w:val="3"/>
        </w:numPr>
        <w:spacing w:after="80" w:line="276"/>
      </w:pPr>
      <w:r>
        <w:rPr>
          <w:rFonts w:ascii="Arial" w:cs="Arial" w:eastAsia="Arial" w:hAnsi="Arial"/>
          <w:sz w:val="22"/>
          <w:szCs w:val="22"/>
        </w:rPr>
        <w:t xml:space="preserve">"diabetes mellitus" activates the condition node. The newly inferred "hyperglycemia" connects via has_complication to produce "diabetes mellitus with hyperglycemia" (strong_suggestion).</w:t>
      </w:r>
    </w:p>
    <w:p>
      <w:pPr>
        <w:pStyle w:val="ListParagraph"/>
        <w:numPr>
          <w:ilvl w:val="0"/>
          <w:numId w:val="3"/>
        </w:numPr>
        <w:spacing w:after="80" w:line="276"/>
      </w:pPr>
      <w:r>
        <w:rPr>
          <w:rFonts w:ascii="Arial" w:cs="Arial" w:eastAsia="Arial" w:hAnsi="Arial"/>
          <w:sz w:val="22"/>
          <w:szCs w:val="22"/>
        </w:rPr>
        <w:t xml:space="preserve">"insulin" activates the medication node. The edge "insulin -&gt; diabetes (treated_by, weak)" confirms the diabetes association but cannot determine type (weak).</w:t>
      </w:r>
    </w:p>
    <w:p>
      <w:pPr>
        <w:spacing w:after="160" w:line="276"/>
      </w:pPr>
      <w:r>
        <w:t xml:space="preserve">The enriched entity "diabetes mellitus with hyperglycemia" resolves to a more specific SNOMED concept, which maps to E11.65 via the crosswalk. The inference_strength is strong_suggestion (from the blood glucose threshold edge) and needs_review is true.</w:t>
      </w:r>
    </w:p>
    <w:p>
      <w:pPr>
        <w:pStyle w:val="Heading2"/>
        <w:spacing w:before="240" w:after="120"/>
      </w:pPr>
      <w:r>
        <w:rPr>
          <w:b/>
          <w:bCs/>
        </w:rPr>
        <w:t xml:space="preserve">9.3 Approach 4 Result</w:t>
      </w:r>
    </w:p>
    <w:p>
      <w:pPr>
        <w:spacing w:after="160" w:line="276"/>
      </w:pPr>
      <w:r>
        <w:t xml:space="preserve">The LLM reads the full note and the extracted entities. It returns an enriched entity stating "Type 2 diabetes mellitus with hyperglycemia" with evidence citing "blood sugar of 425" from HPI. Layer 1 validates that "blood sugar of 425" exists in the note (pass). Layer 2 checks the KG for a valid path from blood_glucose_high to hyperglycemia to diabetes_with_hyperglycemia (pass, strength strong_suggestion). The enriched entity proceeds to SNOMED resolution and maps to E11.65.</w:t>
      </w:r>
    </w:p>
    <w:p>
      <w:pPr>
        <w:spacing w:after="160" w:line="276"/>
      </w:pPr>
      <w:r>
        <w:t xml:space="preserve">All three approaches demonstrate the progression: Approach 3 produces E11.9 (correct but unspecific), Approach 3+KG produces E11.65 (specific, via graph traversal), and Approach 4 produces E11.65 (specific, via LLM reasoning validated against the graph). The context-aware approaches close the specificity gap identified by the baseline.</w:t>
      </w:r>
    </w:p>
    <w:p>
      <w:pPr>
        <w:pStyle w:val="Heading1"/>
        <w:spacing w:before="240" w:after="120"/>
      </w:pPr>
      <w:r>
        <w:rPr>
          <w:b/>
          <w:bCs/>
        </w:rPr>
        <w:t xml:space="preserve">10. Future Direction: Hybrid Approach</w:t>
      </w:r>
    </w:p>
    <w:p>
      <w:pPr>
        <w:spacing w:after="160" w:line="276"/>
      </w:pPr>
      <w:r>
        <w:t xml:space="preserve">The logical next step after the POC is a hybrid approach that combines the strengths of both. The KG handles deterministic, well-defined inferences (lab thresholds, medication-to-type mappings) where the rules are clear and the graph has coverage. The LLM handles edge cases that fall outside the graph's coverage, with Layer 2 validation relaxed or replaced by a confidence threshold for inferences the KG cannot validate.</w:t>
      </w:r>
    </w:p>
    <w:p>
      <w:pPr>
        <w:spacing w:after="160" w:line="276"/>
      </w:pPr>
      <w:r>
        <w:t xml:space="preserve">This hybrid would use the KG as the primary enrichment engine and the LLM as a fallback for entities the KG cannot enrich. It would preserve the determinism and explainability of the KG approach for the majority of cases while using the LLM's flexibility for the remainder. The POC's benchmarking results will inform whether this hybrid is worth pursuing based on how often the LLM catches valid inferences that the KG misses.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8"/>
        <w:szCs w:val="18"/>
      </w:rPr>
      <w:t xml:space="preserve">Clinical NLP to ICD-10 Coding POC</w:t>
    </w:r>
    <w:r>
      <w:t xml:space="preserve">	</w:t>
    </w:r>
    <w:r>
      <w:rPr>
        <w:rFonts w:ascii="Arial" w:cs="Arial" w:eastAsia="Arial" w:hAnsi="Arial"/>
        <w:i/>
        <w:iCs/>
        <w:color w:val="999999"/>
        <w:sz w:val="18"/>
        <w:szCs w:val="18"/>
      </w:rPr>
      <w:t xml:space="preserve">Architecture and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4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4057"/>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2026-02-18T22:55:56.995Z</dcterms:created>
  <dcterms:modified xsi:type="dcterms:W3CDTF">2026-02-18T22:55:56.996Z</dcterms:modified>
</cp:coreProperties>
</file>

<file path=docProps/custom.xml><?xml version="1.0" encoding="utf-8"?>
<Properties xmlns="http://schemas.openxmlformats.org/officeDocument/2006/custom-properties" xmlns:vt="http://schemas.openxmlformats.org/officeDocument/2006/docPropsVTypes"/>
</file>