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4B"/>
          <w:sz w:val="48"/>
          <w:szCs w:val="48"/>
        </w:rPr>
        <w:t xml:space="preserve">Clinical NLP to ICD-10 Coding POC</w:t>
      </w:r>
    </w:p>
    <w:p>
      <w:pPr>
        <w:spacing w:after="200"/>
        <w:jc w:val="center"/>
      </w:pPr>
      <w:r>
        <w:rPr>
          <w:rFonts w:ascii="Arial" w:cs="Arial" w:eastAsia="Arial" w:hAnsi="Arial"/>
          <w:color w:val="2E4057"/>
          <w:sz w:val="36"/>
          <w:szCs w:val="36"/>
        </w:rPr>
        <w:t xml:space="preserve">Context-Aware Approaches:</w:t>
      </w:r>
    </w:p>
    <w:p>
      <w:pPr>
        <w:spacing w:after="600"/>
        <w:jc w:val="center"/>
      </w:pPr>
      <w:r>
        <w:rPr>
          <w:rFonts w:ascii="Arial" w:cs="Arial" w:eastAsia="Arial" w:hAnsi="Arial"/>
          <w:color w:val="2E4057"/>
          <w:sz w:val="36"/>
          <w:szCs w:val="36"/>
        </w:rPr>
        <w:t xml:space="preserve">Knowledge Graph and LLM Enrichment</w:t>
      </w:r>
    </w:p>
    <w:p>
      <w:pPr>
        <w:spacing w:after="100"/>
        <w:jc w:val="center"/>
      </w:pPr>
      <w:r>
        <w:rPr>
          <w:rFonts w:ascii="Arial" w:cs="Arial" w:eastAsia="Arial" w:hAnsi="Arial"/>
          <w:color w:val="666666"/>
          <w:sz w:val="26"/>
          <w:szCs w:val="26"/>
        </w:rPr>
        <w:t xml:space="preserve">Architecture and Design Document</w:t>
      </w:r>
    </w:p>
    <w:p>
      <w:pPr>
        <w:spacing w:after="100"/>
        <w:jc w:val="center"/>
      </w:pPr>
      <w:r>
        <w:rPr>
          <w:rFonts w:ascii="Arial" w:cs="Arial" w:eastAsia="Arial" w:hAnsi="Arial"/>
          <w:color w:val="666666"/>
          <w:sz w:val="24"/>
          <w:szCs w:val="24"/>
        </w:rPr>
        <w:t xml:space="preserve">Domain: Diabetes</w:t>
      </w:r>
    </w:p>
    <w:p>
      <w:pPr>
        <w:spacing w:after="100"/>
        <w:jc w:val="center"/>
      </w:pPr>
      <w:r>
        <w:rPr>
          <w:rFonts w:ascii="Arial" w:cs="Arial" w:eastAsia="Arial" w:hAnsi="Arial"/>
          <w:color w:val="666666"/>
          <w:sz w:val="24"/>
          <w:szCs w:val="24"/>
        </w:rPr>
        <w:t xml:space="preserve">February 2026</w:t>
      </w:r>
    </w:p>
    <w:p>
      <w:pPr>
        <w:sectPr>
          <w:pgSz w:w="12240" w:h="15840" w:orient="portrait"/>
          <w:pgMar w:top="1440" w:right="1440" w:bottom="1440" w:left="1440" w:header="708" w:footer="708" w:gutter="0"/>
          <w:pgNumType/>
          <w:docGrid w:linePitch="360"/>
        </w:sectPr>
      </w:pPr>
    </w:p>
    <w:p>
      <w:pPr>
        <w:pStyle w:val="Heading1"/>
        <w:spacing w:before="240" w:after="120"/>
      </w:pPr>
      <w:r>
        <w:rPr>
          <w:b/>
          <w:bCs/>
        </w:rPr>
        <w:t xml:space="preserve">1. Executive Summary</w:t>
      </w:r>
    </w:p>
    <w:p>
      <w:pPr>
        <w:spacing w:after="160" w:line="276"/>
      </w:pPr>
      <w:r>
        <w:t xml:space="preserve">This document details the architecture and design rationale for two context-aware approaches in the Clinical NLP to ICD-10 Coding POC: Approach 3+KG (Knowledge Graph enrichment) and Approach 4 (LLM enrichment). Both approaches build on the Approach 3 baseline, which extracts entities using NER and maps them to ICD-10 codes via SNOMED CT. The baseline produces correct but unspecific codes because it processes each entity in isolation without cross-sentence context.</w:t>
      </w:r>
    </w:p>
    <w:p>
      <w:pPr>
        <w:spacing w:after="160" w:line="276"/>
      </w:pPr>
      <w:r>
        <w:t xml:space="preserve">The fundamental problem: a clinical note may state "diabetes mellitus, uncontrolled" in one section and "blood sugar 425" in another. Approach 3 cannot connect these two facts. Approach 3+KG uses a structured knowledge graph to traverse from "blood sugar &gt; 400" to "hyperglycemia" via a defined clinical rule. Approach 4 uses a local LLM (via Ollama) to read the full note and infer the same connection with natural language reasoning.</w:t>
      </w:r>
    </w:p>
    <w:p>
      <w:pPr>
        <w:spacing w:after="160" w:line="276"/>
      </w:pPr>
      <w:r>
        <w:t xml:space="preserve">Both approaches produce the same output format: enriched entities with inference strength labels, evidence spans, and reasoning trails. The difference is how they arrive there and the trade-offs each carries.</w:t>
      </w:r>
    </w:p>
    <w:p>
      <w:pPr>
        <w:pStyle w:val="Heading1"/>
        <w:spacing w:before="240" w:after="120"/>
      </w:pPr>
      <w:r>
        <w:rPr>
          <w:b/>
          <w:bCs/>
        </w:rPr>
        <w:t xml:space="preserve">2. Why Context Matters for Clinical Coding</w:t>
      </w:r>
    </w:p>
    <w:p>
      <w:pPr>
        <w:spacing w:after="160" w:line="276"/>
      </w:pPr>
      <w:r>
        <w:t xml:space="preserve">ICD-10-CM coding requires specificity. "Diabetes mellitus" alone maps to E11.9 (unspecified), which is clinically accurate but under-codes the patient's condition. If the note documents hyperglycemia through lab values, the correct code is E11.65 (Type 2 diabetes mellitus with hyperglycemia), which is an HCC (Hierarchical Condition Category) code that affects risk adjustment and reimbursement.</w:t>
      </w:r>
    </w:p>
    <w:p>
      <w:pPr>
        <w:spacing w:after="160" w:line="276"/>
      </w:pPr>
      <w:r>
        <w:t xml:space="preserve">The gap between E11.9 and E11.65 is not a matter of guessing. It is a matter of connecting evidence that exists in different sections of the same note. The evidence is present; the baseline pipeline simply cannot see it because it processes entities one at a time, in the section where they appear, without looking at the full clinical picture.</w:t>
      </w:r>
    </w:p>
    <w:p>
      <w:pPr>
        <w:pStyle w:val="Heading2"/>
        <w:spacing w:before="240" w:after="120"/>
      </w:pPr>
      <w:r>
        <w:rPr>
          <w:b/>
          <w:bCs/>
        </w:rPr>
        <w:t xml:space="preserve">2.1 The Cross-Section Problem</w:t>
      </w:r>
    </w:p>
    <w:p>
      <w:pPr>
        <w:spacing w:after="160" w:line="276"/>
      </w:pPr>
      <w:r>
        <w:t xml:space="preserve">Clinical notes are structured into sections: History of Present Illness (HPI), Past Medical History (PMH), Review of Systems (ROS), and Assessment/Plan. A single condition may have its diagnosis in PMH, its lab values in HPI, its symptoms in ROS, and its treatment plan in Assessment. Sentence-level NER extracts entities from each section independently and has no mechanism to link "blood sugar 425" in HPI to "diabetes mellitus, uncontrolled" in PMH.</w:t>
      </w:r>
    </w:p>
    <w:p>
      <w:pPr>
        <w:pStyle w:val="Heading2"/>
        <w:spacing w:before="240" w:after="120"/>
      </w:pPr>
      <w:r>
        <w:rPr>
          <w:b/>
          <w:bCs/>
        </w:rPr>
        <w:t xml:space="preserve">2.2 What Context-Aware Approaches Add</w:t>
      </w:r>
    </w:p>
    <w:p>
      <w:pPr>
        <w:spacing w:after="160" w:line="276"/>
      </w:pPr>
      <w:r>
        <w:t xml:space="preserve">Both Approach 3+KG and Approach 4 solve this by operating on the full set of extracted entities rather than individual entities. They ask: given all entities extracted across all sections, what additional clinical facts can be inferred? The answer is then used to produce more specific SNOMED concepts, which in turn map to more specific ICD-10 codes.</w:t>
      </w:r>
    </w:p>
    <w:p>
      <w:pPr>
        <w:pStyle w:val="Heading1"/>
        <w:spacing w:before="240" w:after="120"/>
      </w:pPr>
      <w:r>
        <w:rPr>
          <w:b/>
          <w:bCs/>
        </w:rPr>
        <w:t xml:space="preserve">3. Approach 3+KG: Knowledge Graph Enrichment</w:t>
      </w:r>
    </w:p>
    <w:p>
      <w:pPr>
        <w:pStyle w:val="Heading2"/>
        <w:spacing w:before="240" w:after="120"/>
      </w:pPr>
      <w:r>
        <w:rPr>
          <w:b/>
          <w:bCs/>
        </w:rPr>
        <w:t xml:space="preserve">3.1 Design Rationale</w:t>
      </w:r>
    </w:p>
    <w:p>
      <w:pPr>
        <w:spacing w:after="160" w:line="276"/>
      </w:pPr>
      <w:r>
        <w:t xml:space="preserve">Approach 3+KG adds a structured reasoning layer between NER extraction and SNOMED resolution. A diabetes-specific knowledge graph encodes clinical relationships as typed, directed edges between medical concepts. Each edge carries an inference strength label that controls how the system treats the inferred fact.</w:t>
      </w:r>
    </w:p>
    <w:p>
      <w:pPr>
        <w:spacing w:after="160" w:line="276"/>
      </w:pPr>
      <w:r>
        <w:t xml:space="preserve">The rationale for using a knowledge graph rather than rules or heuristics is traceability. Every inference the system makes can be traced back to a specific edge in the graph, with a defined type, source, and strength. This makes the system auditable: a human reviewer can see exactly why the system concluded "hyperglycemia" from "blood sugar 425" and whether that inference is clinically justified.</w:t>
      </w:r>
    </w:p>
    <w:p>
      <w:pPr>
        <w:pStyle w:val="Heading2"/>
        <w:spacing w:before="240" w:after="120"/>
      </w:pPr>
      <w:r>
        <w:rPr>
          <w:b/>
          <w:bCs/>
        </w:rPr>
        <w:t xml:space="preserve">3.2 Knowledge Graph Structure</w:t>
      </w:r>
    </w:p>
    <w:p>
      <w:pPr>
        <w:spacing w:after="160" w:line="276"/>
      </w:pPr>
      <w:r>
        <w:t xml:space="preserve">The KG is a directed graph stored as JSON and loaded into NetworkX at runtime. For this POC scoped to diabetes, the graph contains approximately 30-50 nodes and 50-100 edges. It is small enough to inspect manually, which is a deliberate design choice for a POC.</w:t>
      </w:r>
    </w:p>
    <w:p>
      <w:pPr>
        <w:pStyle w:val="Heading3"/>
        <w:spacing w:before="240" w:after="120"/>
      </w:pPr>
      <w:r>
        <w:rPr>
          <w:b/>
          <w:bCs/>
        </w:rPr>
        <w:t xml:space="preserve">3.2.1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Node Type</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diagnosis or disease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mellitus, Type 2 DM, Uncontrolled DM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condition caused by primary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Diabetic neuropathy, Diabetic CKD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symptom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Observable clinical finding</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Paresthesia, Polydipsia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Drug or drug class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 Glucophage, Insulin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lab_value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Laboratory test or vital sign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HbA1c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lab_threshold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Clinically significant cutoff</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HbA1c &gt; 9%</w:t>
            </w:r>
          </w:p>
        </w:tc>
      </w:tr>
    </w:tbl>
    <w:p>
      <w:pPr>
        <w:pStyle w:val="Heading3"/>
        <w:spacing w:before="240" w:after="120"/>
      </w:pPr>
      <w:r>
        <w:rPr>
          <w:b/>
          <w:bCs/>
        </w:rPr>
        <w:t xml:space="preserve">3.2.2 Edge Types with Inference Strength</w:t>
      </w:r>
    </w:p>
    <w:p>
      <w:pPr>
        <w:spacing w:after="160" w:line="276"/>
      </w:pPr>
      <w:r>
        <w:t xml:space="preserve">Every edge in the KG carries three properties: the relationship type, the inference strength, and the source (SNOMED relationship or custom clinical rule). The inference strength determines how the downstream pipeline treats the inferred 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Edge</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2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 (when both documented)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SNOMED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blood glucose &gt; 400 -&gt; hyperglycemia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HbA1c &gt; 9% -&gt; uncontrolled diabetes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suggests_severity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metformin/Glucophage -&gt; Type 2 DM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implies_type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insulin -&gt; diabetes (type ambiguous)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treated_by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numbness + diabetes -&gt; diabetic neuropathy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CKD + diabetes -&gt; diabetic CKD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has_complication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rule</w:t>
            </w:r>
          </w:p>
        </w:tc>
      </w:tr>
    </w:tbl>
    <w:p>
      <w:pPr>
        <w:pStyle w:val="Heading3"/>
        <w:spacing w:before="240" w:after="120"/>
      </w:pPr>
      <w:r>
        <w:rPr>
          <w:b/>
          <w:bCs/>
        </w:rPr>
        <w:t xml:space="preserve">3.2.3 Inference Strength Model</w:t>
      </w:r>
    </w:p>
    <w:p>
      <w:pPr>
        <w:spacing w:after="160" w:line="276"/>
      </w:pPr>
      <w:r>
        <w:t xml:space="preserve">The three-tier inference strength model controls clinical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Strength</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Pipeline Behavior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Directly stated in the clinical note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false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strong_suggestion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Supported by clinical evidence via a validated rule or KG edge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true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Plausible but not guideline-justified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assigned with needs_review = true and flagged for manual review</w:t>
            </w:r>
          </w:p>
        </w:tc>
      </w:tr>
    </w:tbl>
    <w:p>
      <w:pPr>
        <w:spacing w:after="160" w:line="276"/>
      </w:pPr>
      <w:r>
        <w:t xml:space="preserve">A critical distinction: HbA1c &gt; 9% suggests uncontrolled diabetes per clinical guidelines, but it does not confirm it. Some organizations accept this as sufficient for coding E11.65; others require the physician to explicitly document "uncontrolled" or "with hyperglycemia" in their assessment. The strong_suggestion label communicates this ambiguity to the downstream reviewer without making the decision for them.</w:t>
      </w:r>
    </w:p>
    <w:p>
      <w:pPr>
        <w:pStyle w:val="Heading2"/>
        <w:spacing w:before="240" w:after="120"/>
      </w:pPr>
      <w:r>
        <w:rPr>
          <w:b/>
          <w:bCs/>
        </w:rPr>
        <w:t xml:space="preserve">3.3 KG Data Sources</w:t>
      </w:r>
    </w:p>
    <w:p>
      <w:pPr>
        <w:spacing w:after="160" w:line="276"/>
      </w:pPr>
      <w:r>
        <w:t xml:space="preserve">The KG is built from two sources, combined and manually reviewed.</w:t>
      </w:r>
    </w:p>
    <w:p>
      <w:pPr>
        <w:spacing w:after="160" w:line="276"/>
      </w:pPr>
      <w:r>
        <w:rPr>
          <w:b/>
          <w:bCs/>
        </w:rPr>
        <w:t xml:space="preserve">SNOMED CT US Edition (September 2025): </w:t>
      </w:r>
      <w:r>
        <w:t xml:space="preserve">The sct2_Relationship_Snapshot file provides formal medical relationships between SNOMED concepts. The extraction script filters to diabetes-related concept IDs and keeps relationship types including is_a, has_complication, finding_site, causative_agent, and associated_morphology. The sct2_Description_Snapshot file provides display names and synonyms for each concept. These files replace the UMLS Metathesaurus RRF files (MRCONSO, MRREL, MRHIER) originally planned, as the native SNOMED release is cleaner and does not require SAB filtering.</w:t>
      </w:r>
    </w:p>
    <w:p>
      <w:pPr>
        <w:spacing w:after="160" w:line="276"/>
      </w:pPr>
      <w:r>
        <w:rPr>
          <w:b/>
          <w:bCs/>
        </w:rPr>
        <w:t xml:space="preserve">Custom clinical rules: </w:t>
      </w:r>
      <w:r>
        <w:t xml:space="preserve">Manually authored rules that encode clinical knowledge not present in SNOMED's formal ontology. These cover lab value thresholds (blood glucose &gt; 400 implies hyperglycemia), medication-to-type mappings (Glucophage implies Type 2), and multi-entity inferences (numbness + diabetes implies diabetic neuropathy). Each custom rule has a defined inference strength.</w:t>
      </w:r>
    </w:p>
    <w:p>
      <w:pPr>
        <w:pStyle w:val="Heading2"/>
        <w:spacing w:before="240" w:after="120"/>
      </w:pPr>
      <w:r>
        <w:rPr>
          <w:b/>
          <w:bCs/>
        </w:rPr>
        <w:t xml:space="preserve">3.4 Graph Traversal Logic</w:t>
      </w:r>
    </w:p>
    <w:p>
      <w:pPr>
        <w:spacing w:after="160" w:line="276"/>
      </w:pPr>
      <w:r>
        <w:t xml:space="preserve">The graph enricher receives all NER entities extracted from the note and performs the following reasoning steps:</w:t>
      </w:r>
    </w:p>
    <w:p>
      <w:pPr>
        <w:spacing w:after="160" w:line="276"/>
      </w:pPr>
      <w:r>
        <w:rPr>
          <w:b/>
          <w:bCs/>
        </w:rPr>
        <w:t xml:space="preserve">Step 1 - Entity-to-node matching: </w:t>
      </w:r>
      <w:r>
        <w:t xml:space="preserve">Each NER entity is matched to a node in the KG. This uses the same semantic resolver (SapBERT embeddings, cosine similarity) that Approach 3 uses for SNOMED resolution. If an entity matches a KG node with confidence above the threshold, it is considered "activated" in the graph.</w:t>
      </w:r>
    </w:p>
    <w:p>
      <w:pPr>
        <w:spacing w:after="160" w:line="276"/>
      </w:pPr>
      <w:r>
        <w:rPr>
          <w:b/>
          <w:bCs/>
        </w:rPr>
        <w:t xml:space="preserve">Step 2 - Severity inference: </w:t>
      </w:r>
      <w:r>
        <w:t xml:space="preserve">For activated lab_value nodes, check if the extracted value exceeds any lab_threshold node connected by an indicated_by edge. If blood glucose is extracted with value 425 and the KG has an edge "blood glucose &gt; 400 -&gt; hyperglycemia" with strength strong_suggestion, the system infers hyperglycemia.</w:t>
      </w:r>
    </w:p>
    <w:p>
      <w:pPr>
        <w:spacing w:after="160" w:line="276"/>
      </w:pPr>
      <w:r>
        <w:rPr>
          <w:b/>
          <w:bCs/>
        </w:rPr>
        <w:t xml:space="preserve">Step 3 - Type inference: </w:t>
      </w:r>
      <w:r>
        <w:t xml:space="preserve">For activated medication nodes, traverse implies_type edges. If Glucophage or metformin is present, the system infers Type 2 DM with strength strong_suggestion. If only insulin is present with no oral medications, the type remains ambiguous (weak).</w:t>
      </w:r>
    </w:p>
    <w:p>
      <w:pPr>
        <w:spacing w:after="160" w:line="276"/>
      </w:pPr>
      <w:r>
        <w:rPr>
          <w:b/>
          <w:bCs/>
        </w:rPr>
        <w:t xml:space="preserve">Step 4 - Complication inference: </w:t>
      </w:r>
      <w:r>
        <w:t xml:space="preserve">For activated symptom nodes, check if a has_complication edge exists connecting the symptom + a condition to a complication. This requires both the symptom and the condition to be activated. Numbness alone does not infer diabetic neuropathy; numbness + diabetes together do.</w:t>
      </w:r>
    </w:p>
    <w:p>
      <w:pPr>
        <w:spacing w:after="160" w:line="276"/>
      </w:pPr>
      <w:r>
        <w:rPr>
          <w:b/>
          <w:bCs/>
        </w:rPr>
        <w:t xml:space="preserve">Step 5 - Build enriched entities: </w:t>
      </w:r>
      <w:r>
        <w:t xml:space="preserve">Each inference is wrapped in an EnrichedEntity with the original entity, the enriched condition description, the inference strength from the KG edge, the evidence spans (character offsets from the note), and a reasoning trail documenting the traversal path.</w:t>
      </w:r>
    </w:p>
    <w:p>
      <w:pPr>
        <w:pStyle w:val="Heading2"/>
        <w:spacing w:before="240" w:after="120"/>
      </w:pPr>
      <w:r>
        <w:rPr>
          <w:b/>
          <w:bCs/>
        </w:rPr>
        <w:t xml:space="preserve">3.5 Why This Design</w:t>
      </w:r>
    </w:p>
    <w:p>
      <w:pPr>
        <w:spacing w:after="160" w:line="276"/>
      </w:pPr>
      <w:r>
        <w:t xml:space="preserve">Three properties make the KG approach suitable for clinical coding:</w:t>
      </w:r>
    </w:p>
    <w:p>
      <w:pPr>
        <w:spacing w:after="160" w:line="276"/>
      </w:pPr>
      <w:r>
        <w:rPr>
          <w:b/>
          <w:bCs/>
        </w:rPr>
        <w:t xml:space="preserve">Deterministic: </w:t>
      </w:r>
      <w:r>
        <w:t xml:space="preserve">Given the same note and the same KG, the system always produces the same output. There is no randomness, no temperature parameter, no variation between runs. This is critical for auditability in healthcare.</w:t>
      </w:r>
    </w:p>
    <w:p>
      <w:pPr>
        <w:spacing w:after="160" w:line="276"/>
      </w:pPr>
      <w:r>
        <w:rPr>
          <w:b/>
          <w:bCs/>
        </w:rPr>
        <w:t xml:space="preserve">Explainable: </w:t>
      </w:r>
      <w:r>
        <w:t xml:space="preserve">Every code can be traced to a specific graph traversal path. A reviewer can ask "why E11.65?" and receive the answer: "Diabetes mellitus (PMH, char 629) + blood glucose 425 (HPI, char 312) -&gt; blood glucose &gt; 400 -&gt; hyperglycemia (indicated_by, strong_suggestion) -&gt; E11.65 via crosswalk." No black box.</w:t>
      </w:r>
    </w:p>
    <w:p>
      <w:pPr>
        <w:spacing w:after="160" w:line="276"/>
      </w:pPr>
      <w:r>
        <w:rPr>
          <w:b/>
          <w:bCs/>
        </w:rPr>
        <w:t xml:space="preserve">Controllable: </w:t>
      </w:r>
      <w:r>
        <w:t xml:space="preserve">Organization-specific coding policies can be encoded by adjusting edge strengths or adding new rules. If an organization requires physician documentation for "uncontrolled" and does not accept lab values alone, the HbA1c edge strength can be changed from strong_suggestion to weak, which changes the needs_review flag but not the code.</w:t>
      </w:r>
    </w:p>
    <w:p>
      <w:pPr>
        <w:pStyle w:val="Heading2"/>
        <w:spacing w:before="240" w:after="120"/>
      </w:pPr>
      <w:r>
        <w:rPr>
          <w:b/>
          <w:bCs/>
        </w:rPr>
        <w:t xml:space="preserve">3.6 Limitations</w:t>
      </w:r>
    </w:p>
    <w:p>
      <w:pPr>
        <w:spacing w:after="160" w:line="276"/>
      </w:pPr>
      <w:r>
        <w:t xml:space="preserve">The KG approach has two primary limitations. First, it only knows what is encoded in the graph. If a clinical relationship is not present as an edge, the system cannot infer it. This means the graph must be built and reviewed for each clinical domain, which requires clinical expertise and manual effort. Second, it cannot handle novel or ambiguous clinical language. If a physician writes "sugars have been through the roof" instead of "blood glucose 425," the NER may not extract a lab value, and the KG has nothing to traverse.</w:t>
      </w:r>
    </w:p>
    <w:p>
      <w:pPr>
        <w:pStyle w:val="Heading1"/>
        <w:spacing w:before="240" w:after="120"/>
      </w:pPr>
      <w:r>
        <w:rPr>
          <w:b/>
          <w:bCs/>
        </w:rPr>
        <w:t xml:space="preserve">4. Approach 4: LLM Context Enrichment</w:t>
      </w:r>
    </w:p>
    <w:p>
      <w:pPr>
        <w:pStyle w:val="Heading2"/>
        <w:spacing w:before="240" w:after="120"/>
      </w:pPr>
      <w:r>
        <w:rPr>
          <w:b/>
          <w:bCs/>
        </w:rPr>
        <w:t xml:space="preserve">4.1 Design Rationale</w:t>
      </w:r>
    </w:p>
    <w:p>
      <w:pPr>
        <w:spacing w:after="160" w:line="276"/>
      </w:pPr>
      <w:r>
        <w:t xml:space="preserve">Approach 4 replaces the structured KG traversal with a local LLM that reads the full clinical note alongside the NER-extracted entities. The LLM is prompted to enrich each entity with type specificity, severity, complications, and evidence citations. It produces the same EnrichedEntity output as Approach 3+KG but arrives there through natural language understanding rather than graph traversal.</w:t>
      </w:r>
    </w:p>
    <w:p>
      <w:pPr>
        <w:spacing w:after="160" w:line="276"/>
      </w:pPr>
      <w:r>
        <w:t xml:space="preserve">The rationale for including an LLM approach alongside the KG is flexibility. The KG requires every possible inference to be pre-encoded as an edge. The LLM can reason about clinical relationships it was not explicitly taught, handle ambiguous language, and adapt to note structures it has not seen before. The trade-off is that LLM outputs are non-deterministic and may contain hallucinations.</w:t>
      </w:r>
    </w:p>
    <w:p>
      <w:pPr>
        <w:pStyle w:val="Heading2"/>
        <w:spacing w:before="240" w:after="120"/>
      </w:pPr>
      <w:r>
        <w:rPr>
          <w:b/>
          <w:bCs/>
        </w:rPr>
        <w:t xml:space="preserve">4.2 LLM Runtime</w:t>
      </w:r>
    </w:p>
    <w:p>
      <w:pPr>
        <w:spacing w:after="160" w:line="276"/>
      </w:pPr>
      <w:r>
        <w:t xml:space="preserve">All LLM inference runs locally via Ollama. No data leaves the machine. The LLM factory supports two models: Qwen 2.5 7B (default) and Llama 3.1 8B (benchmark alternative). Both run acceptably on CPU with quantized weights. The choice of local inference is driven by healthcare data sensitivity; clinical notes cannot be sent to external APIs.</w:t>
      </w:r>
    </w:p>
    <w:p>
      <w:pPr>
        <w:pStyle w:val="Heading2"/>
        <w:spacing w:before="240" w:after="120"/>
      </w:pPr>
      <w:r>
        <w:rPr>
          <w:b/>
          <w:bCs/>
        </w:rPr>
        <w:t xml:space="preserve">4.3 Prompt Design</w:t>
      </w:r>
    </w:p>
    <w:p>
      <w:pPr>
        <w:spacing w:after="160" w:line="276"/>
      </w:pPr>
      <w:r>
        <w:t xml:space="preserve">The LLM receives two inputs: the full clinical note text and the list of NER-extracted entities in JSON format. The prompt instructs the LLM to act as a clinical coding specialist and enrich each entity for ICD-10 coding specificity. Critical constraints in the prompt:</w:t>
      </w:r>
    </w:p>
    <w:p>
      <w:pPr>
        <w:pStyle w:val="ListParagraph"/>
        <w:numPr>
          <w:ilvl w:val="0"/>
          <w:numId w:val="2"/>
        </w:numPr>
        <w:spacing w:after="80" w:line="276"/>
      </w:pPr>
      <w:r>
        <w:rPr>
          <w:rFonts w:ascii="Arial" w:cs="Arial" w:eastAsia="Arial" w:hAnsi="Arial"/>
          <w:sz w:val="22"/>
          <w:szCs w:val="22"/>
        </w:rPr>
        <w:t xml:space="preserve">Only infer what the note clinically supports</w:t>
      </w:r>
    </w:p>
    <w:p>
      <w:pPr>
        <w:pStyle w:val="ListParagraph"/>
        <w:numPr>
          <w:ilvl w:val="0"/>
          <w:numId w:val="2"/>
        </w:numPr>
        <w:spacing w:after="80" w:line="276"/>
      </w:pPr>
      <w:r>
        <w:rPr>
          <w:rFonts w:ascii="Arial" w:cs="Arial" w:eastAsia="Arial" w:hAnsi="Arial"/>
          <w:sz w:val="22"/>
          <w:szCs w:val="22"/>
        </w:rPr>
        <w:t xml:space="preserve">Cite exact quotes from the note as evidence for each inference</w:t>
      </w:r>
    </w:p>
    <w:p>
      <w:pPr>
        <w:pStyle w:val="ListParagraph"/>
        <w:numPr>
          <w:ilvl w:val="0"/>
          <w:numId w:val="2"/>
        </w:numPr>
        <w:spacing w:after="80" w:line="276"/>
      </w:pPr>
      <w:r>
        <w:rPr>
          <w:rFonts w:ascii="Arial" w:cs="Arial" w:eastAsia="Arial" w:hAnsi="Arial"/>
          <w:sz w:val="22"/>
          <w:szCs w:val="22"/>
        </w:rPr>
        <w:t xml:space="preserve">Say "insufficient information" if a determination cannot be made</w:t>
      </w:r>
    </w:p>
    <w:p>
      <w:pPr>
        <w:pStyle w:val="ListParagraph"/>
        <w:numPr>
          <w:ilvl w:val="0"/>
          <w:numId w:val="2"/>
        </w:numPr>
        <w:spacing w:after="80" w:line="276"/>
      </w:pPr>
      <w:r>
        <w:rPr>
          <w:rFonts w:ascii="Arial" w:cs="Arial" w:eastAsia="Arial" w:hAnsi="Arial"/>
          <w:sz w:val="22"/>
          <w:szCs w:val="22"/>
        </w:rPr>
        <w:t xml:space="preserve">Do not invent conditions not present in the note</w:t>
      </w:r>
    </w:p>
    <w:p>
      <w:pPr>
        <w:pStyle w:val="ListParagraph"/>
        <w:numPr>
          <w:ilvl w:val="0"/>
          <w:numId w:val="2"/>
        </w:numPr>
        <w:spacing w:after="80" w:line="276"/>
      </w:pPr>
      <w:r>
        <w:rPr>
          <w:rFonts w:ascii="Arial" w:cs="Arial" w:eastAsia="Arial" w:hAnsi="Arial"/>
          <w:sz w:val="22"/>
          <w:szCs w:val="22"/>
        </w:rPr>
        <w:t xml:space="preserve">Do not infer laterality unless the note explicitly states it</w:t>
      </w:r>
    </w:p>
    <w:p>
      <w:pPr>
        <w:pStyle w:val="ListParagraph"/>
        <w:numPr>
          <w:ilvl w:val="0"/>
          <w:numId w:val="2"/>
        </w:numPr>
        <w:spacing w:after="80" w:line="276"/>
      </w:pPr>
      <w:r>
        <w:rPr>
          <w:rFonts w:ascii="Arial" w:cs="Arial" w:eastAsia="Arial" w:hAnsi="Arial"/>
          <w:sz w:val="22"/>
          <w:szCs w:val="22"/>
        </w:rPr>
        <w:t xml:space="preserve">Do not infer complications unless directly linked by clinical evidence in the note</w:t>
      </w:r>
    </w:p>
    <w:p>
      <w:pPr>
        <w:spacing w:after="160" w:line="276"/>
      </w:pPr>
      <w:r>
        <w:t xml:space="preserve">The prompt requests structured JSON output with fields for the enriched condition, type, severity, complications, evidence citations, and confidence. This structured output is parsed programmatically for downstream processing.</w:t>
      </w:r>
    </w:p>
    <w:p>
      <w:pPr>
        <w:pStyle w:val="Heading2"/>
        <w:spacing w:before="240" w:after="120"/>
      </w:pPr>
      <w:r>
        <w:rPr>
          <w:b/>
          <w:bCs/>
        </w:rPr>
        <w:t xml:space="preserve">4.4 Two-Layer Validation</w:t>
      </w:r>
    </w:p>
    <w:p>
      <w:pPr>
        <w:spacing w:after="160" w:line="276"/>
      </w:pPr>
      <w:r>
        <w:t xml:space="preserve">LLMs hallucinate. In a clinical coding context, a hallucinated inference means a wrong billing code, which has compliance and patient safety implications. Two validation layers catch different failure modes.</w:t>
      </w:r>
    </w:p>
    <w:p>
      <w:pPr>
        <w:pStyle w:val="Heading3"/>
        <w:spacing w:before="240" w:after="120"/>
      </w:pPr>
      <w:r>
        <w:rPr>
          <w:b/>
          <w:bCs/>
        </w:rPr>
        <w:t xml:space="preserve">4.4.1 Layer 1: Evidence Existence Check</w:t>
      </w:r>
    </w:p>
    <w:p>
      <w:pPr>
        <w:spacing w:after="160" w:line="276"/>
      </w:pPr>
      <w:r>
        <w:t xml:space="preserve">For each evidence span the LLM cites, the system checks whether that text actually appears in the clinical note. This uses fuzzy string matching (not exact match, because the LLM may paraphrase slightly) against the original note text. If the LLM cites "HbA1c of 11.1%" as evidence and that string (or a close variant) exists in the note, the evidence passes. If the LLM cites "patient reports frequent hypoglycemic episodes" and no such text exists, the entire enrichment is rejected.</w:t>
      </w:r>
    </w:p>
    <w:p>
      <w:pPr>
        <w:spacing w:after="160" w:line="276"/>
      </w:pPr>
      <w:r>
        <w:t xml:space="preserve">Layer 1 catches fabricated evidence. It answers the question: does the LLM's cited source material actually exist?</w:t>
      </w:r>
    </w:p>
    <w:p>
      <w:pPr>
        <w:pStyle w:val="Heading3"/>
        <w:spacing w:before="240" w:after="120"/>
      </w:pPr>
      <w:r>
        <w:rPr>
          <w:b/>
          <w:bCs/>
        </w:rPr>
        <w:t xml:space="preserve">4.4.2 Layer 2: Inference Validity Check</w:t>
      </w:r>
    </w:p>
    <w:p>
      <w:pPr>
        <w:spacing w:after="160" w:line="276"/>
      </w:pPr>
      <w:r>
        <w:t xml:space="preserve">Layer 1 only checks that the evidence exists. It does not check whether the evidence supports the conclusion. An LLM could cite real text ("HbA1c 11.1%") but draw an invalid conclusion ("diabetic neuropathy"). HbA1c is a glycemic control marker, not a neuropathy indicator; citing it as evidence for neuropathy is clinically invalid even though the evidence text is real.</w:t>
      </w:r>
    </w:p>
    <w:p>
      <w:pPr>
        <w:spacing w:after="160" w:line="276"/>
      </w:pPr>
      <w:r>
        <w:t xml:space="preserve">Layer 2 uses the Knowledge Graph as an allowed-inference rulebook. For each LLM inference, the system checks whether a valid path exists in the KG from the evidence to the conclusion. If the KG contains an edge from hba1c_high to uncontrolled_diabetes (suggests_severity), then "HbA1c 11.1% -&gt; uncontrolled diabetes" is a valid inference. If the KG has no path from hba1c to neuropathy, then "HbA1c 11.1% -&gt; diabetic neuropathy" is rejected.</w:t>
      </w:r>
    </w:p>
    <w:p>
      <w:pPr>
        <w:spacing w:after="160" w:line="276"/>
      </w:pPr>
      <w:r>
        <w:t xml:space="preserve">The inference strength from the matching KG edge propagates to the enriched entity. This means the KG serves a dual purpose: it is the enrichment engine for Approach 3+KG and the validation rulebook for Approach 4.</w:t>
      </w:r>
    </w:p>
    <w:p>
      <w:pPr>
        <w:pStyle w:val="Heading2"/>
        <w:spacing w:before="240" w:after="120"/>
      </w:pPr>
      <w:r>
        <w:rPr>
          <w:b/>
          <w:bCs/>
        </w:rPr>
        <w:t xml:space="preserve">4.5 Why Two Layers</w:t>
      </w:r>
    </w:p>
    <w:p>
      <w:pPr>
        <w:spacing w:after="160" w:line="276"/>
      </w:pPr>
      <w:r>
        <w:t xml:space="preserve">Neither layer alone is sufficient.</w:t>
      </w:r>
    </w:p>
    <w:p>
      <w:pPr>
        <w:spacing w:after="160" w:line="276"/>
      </w:pPr>
      <w:r>
        <w:rPr>
          <w:b/>
          <w:bCs/>
        </w:rPr>
        <w:t xml:space="preserve">Layer 1 alone: </w:t>
      </w:r>
      <w:r>
        <w:t xml:space="preserve">Catches fabricated evidence but passes clinically invalid reasoning. The LLM can cite real text and still draw a wrong conclusion.</w:t>
      </w:r>
    </w:p>
    <w:p>
      <w:pPr>
        <w:spacing w:after="160" w:line="276"/>
      </w:pPr>
      <w:r>
        <w:rPr>
          <w:b/>
          <w:bCs/>
        </w:rPr>
        <w:t xml:space="preserve">Layer 2 alone: </w:t>
      </w:r>
      <w:r>
        <w:t xml:space="preserve">Catches invalid reasoning paths but cannot detect whether the evidence the LLM claims to have seen actually exists in the note. The LLM could invent a plausible evidence span that happens to align with a valid KG path.</w:t>
      </w:r>
    </w:p>
    <w:p>
      <w:pPr>
        <w:spacing w:after="160" w:line="276"/>
      </w:pPr>
      <w:r>
        <w:t xml:space="preserve">Together, they enforce: the evidence must exist in the note (Layer 1) AND the reasoning from that evidence to the conclusion must be clinically valid per the KG (Layer 2).</w:t>
      </w:r>
    </w:p>
    <w:p>
      <w:pPr>
        <w:pStyle w:val="Heading2"/>
        <w:spacing w:before="240" w:after="120"/>
      </w:pPr>
      <w:r>
        <w:rPr>
          <w:b/>
          <w:bCs/>
        </w:rPr>
        <w:t xml:space="preserve">4.6 Dependency on the KG</w:t>
      </w:r>
    </w:p>
    <w:p>
      <w:pPr>
        <w:spacing w:after="160" w:line="276"/>
      </w:pPr>
      <w:r>
        <w:t xml:space="preserve">Approach 4 depends on the KG for Layer 2 validation. This means the KG must be built before Approach 4 can run with full validation. If the KG is not available, Approach 4 can still run with Layer 1 only, but the clinical validity of its inferences is unverified. The phasing of the POC reflects this: Approach 3+KG (Phase 3) is built before Approach 4 (Phase 4).</w:t>
      </w:r>
    </w:p>
    <w:p>
      <w:pPr>
        <w:spacing w:after="160" w:line="276"/>
      </w:pPr>
      <w:r>
        <w:t xml:space="preserve">This dependency also means that Approach 4 is constrained by the KG's coverage. If the KG does not contain an edge for a particular inference, Layer 2 will reject it even if the inference is clinically valid. This is a conservative design choice: it is safer to reject a valid inference than to accept an invalid one in a clinical coding context.</w:t>
      </w:r>
    </w:p>
    <w:p>
      <w:pPr>
        <w:pStyle w:val="Heading2"/>
        <w:spacing w:before="240" w:after="120"/>
      </w:pPr>
      <w:r>
        <w:rPr>
          <w:b/>
          <w:bCs/>
        </w:rPr>
        <w:t xml:space="preserve">4.7 Limitations</w:t>
      </w:r>
    </w:p>
    <w:p>
      <w:pPr>
        <w:spacing w:after="160" w:line="276"/>
      </w:pPr>
      <w:r>
        <w:t xml:space="preserve">Three limitations are specific to Approach 4. First, LLM output is non-deterministic. The same note processed twice may produce slightly different enrichments, which complicates reproducibility and auditing. Second, latency is significantly higher than the KG approach; a 7B parameter model on CPU adds seconds per note versus milliseconds for graph traversal. Third, the quality of enrichment is bounded by the LLM's medical knowledge, which may contain inaccuracies or outdated information that the validation layers cannot catch if the KG also lacks the relevant edges.</w:t>
      </w:r>
    </w:p>
    <w:p>
      <w:pPr>
        <w:pStyle w:val="Heading1"/>
        <w:spacing w:before="240" w:after="120"/>
      </w:pPr>
      <w:r>
        <w:rPr>
          <w:b/>
          <w:bCs/>
        </w:rPr>
        <w:t xml:space="preserve">5. Comparing the Two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3+KG</w:t>
            </w:r>
          </w:p>
        </w:tc>
        <w:tc>
          <w:tcPr>
            <w:tcW w:type="dxa" w:w="35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Approach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 method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 traversal with typed edges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reads full note + entities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same input always same output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LLM output varies between runs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Explainability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every inference traced to a KG edge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LLM provides reasoning but it is not verifiable without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to edges in the graph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reason about relationships not pre-encoded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only produces inferences that exist as edges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mitigated by two-layer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 (graph traversal)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 (LLM inference on CPU)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KG must be updated when guidelines change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knowledge is static per model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Inherently valid (edges are the rules)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KG as external validation rulebook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to new domains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building new KG per domain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 across domains without domain-specific setup (but validation still needs KG)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Organization-specific rules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 directly as edge strengths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customize without prompt engineering or KG changes</w:t>
            </w:r>
          </w:p>
        </w:tc>
      </w:tr>
    </w:tbl>
    <w:p>
      <w:pPr>
        <w:spacing w:after="160" w:line="276"/>
      </w:pPr>
      <w:r>
        <w:t xml:space="preserve">The POC benchmarks both approaches against the Approach 3 baseline and against each other. The expected outcome is that both produce more specific codes than the baseline, with the KG approach being more precise and the LLM approach having broader coverage but requiring more validation overhead.</w:t>
      </w:r>
    </w:p>
    <w:p>
      <w:pPr>
        <w:pStyle w:val="Heading1"/>
        <w:spacing w:before="240" w:after="120"/>
      </w:pPr>
      <w:r>
        <w:rPr>
          <w:b/>
          <w:bCs/>
        </w:rPr>
        <w:t xml:space="preserve">6. The Knowledge Graph as Shared Infrastructure</w:t>
      </w:r>
    </w:p>
    <w:p>
      <w:pPr>
        <w:spacing w:after="160" w:line="276"/>
      </w:pPr>
      <w:r>
        <w:t xml:space="preserve">A key architectural decision in this POC is that the KG is not just an enrichment engine for one approach. It serves as shared infrastructure across the system:</w:t>
      </w:r>
    </w:p>
    <w:p>
      <w:pPr>
        <w:spacing w:after="160" w:line="276"/>
      </w:pPr>
      <w:r>
        <w:rPr>
          <w:b/>
          <w:bCs/>
        </w:rPr>
        <w:t xml:space="preserve">For Approach 3+KG: </w:t>
      </w:r>
      <w:r>
        <w:t xml:space="preserve">The KG is the enrichment engine. It defines what inferences are possible and at what strength.</w:t>
      </w:r>
    </w:p>
    <w:p>
      <w:pPr>
        <w:spacing w:after="160" w:line="276"/>
      </w:pPr>
      <w:r>
        <w:rPr>
          <w:b/>
          <w:bCs/>
        </w:rPr>
        <w:t xml:space="preserve">For Approach 4: </w:t>
      </w:r>
      <w:r>
        <w:t xml:space="preserve">The KG is the validation rulebook. It constrains what the LLM is allowed to infer, even though the LLM does the actual reasoning.</w:t>
      </w:r>
    </w:p>
    <w:p>
      <w:pPr>
        <w:spacing w:after="160" w:line="276"/>
      </w:pPr>
      <w:r>
        <w:rPr>
          <w:b/>
          <w:bCs/>
        </w:rPr>
        <w:t xml:space="preserve">For all approaches: </w:t>
      </w:r>
      <w:r>
        <w:t xml:space="preserve">The inference strength model encoded in the KG edges defines the needs_review behavior across the entire system. Whether an inference comes from graph traversal or LLM reasoning, its strength is determined by the corresponding KG edge.</w:t>
      </w:r>
    </w:p>
    <w:p>
      <w:pPr>
        <w:spacing w:after="160" w:line="276"/>
      </w:pPr>
      <w:r>
        <w:t xml:space="preserve">This design means that improving the KG improves all approaches simultaneously. Adding a new edge to the KG gives Approach 3+KG a new inference capability and gives Approach 4 a new validation path. Adjusting an edge's strength changes the needs_review behavior for both approaches.</w:t>
      </w:r>
    </w:p>
    <w:p>
      <w:pPr>
        <w:pStyle w:val="Heading1"/>
        <w:spacing w:before="240" w:after="120"/>
      </w:pPr>
      <w:r>
        <w:rPr>
          <w:b/>
          <w:bCs/>
        </w:rPr>
        <w:t xml:space="preserve">7. Clinical Safety Design</w:t>
      </w:r>
    </w:p>
    <w:p>
      <w:pPr>
        <w:spacing w:after="160" w:line="276"/>
      </w:pPr>
      <w:r>
        <w:t xml:space="preserve">Both approaches enforce clinical safety through the same mechanisms, though implemented differently.</w:t>
      </w:r>
    </w:p>
    <w:p>
      <w:pPr>
        <w:pStyle w:val="Heading2"/>
        <w:spacing w:before="240" w:after="120"/>
      </w:pPr>
      <w:r>
        <w:rPr>
          <w:b/>
          <w:bCs/>
        </w:rPr>
        <w:t xml:space="preserve">7.1 Overcoding Prevention</w:t>
      </w:r>
    </w:p>
    <w:p>
      <w:pPr>
        <w:spacing w:after="160" w:line="276"/>
      </w:pPr>
      <w:r>
        <w:t xml:space="preserve">Overcoding occurs when a code is assigned at a higher specificity than the evidence supports. For example, assigning E11.65 (with hyperglycemia) when the note only documents "diabetes mellitus" without any hyperglycemia evidence. Both approaches prevent this differently:</w:t>
      </w:r>
    </w:p>
    <w:p>
      <w:pPr>
        <w:spacing w:after="160" w:line="276"/>
      </w:pPr>
      <w:r>
        <w:rPr>
          <w:b/>
          <w:bCs/>
        </w:rPr>
        <w:t xml:space="preserve">Approach 3+KG: </w:t>
      </w:r>
      <w:r>
        <w:t xml:space="preserve">The graph enricher only produces an enriched entity if a valid traversal path exists. No edge from "diabetes mellitus" alone to "hyperglycemia" means no enrichment to E11.65. The system cannot overcode because the graph does not permit it.</w:t>
      </w:r>
    </w:p>
    <w:p>
      <w:pPr>
        <w:spacing w:after="160" w:line="276"/>
      </w:pPr>
      <w:r>
        <w:rPr>
          <w:b/>
          <w:bCs/>
        </w:rPr>
        <w:t xml:space="preserve">Approach 4: </w:t>
      </w:r>
      <w:r>
        <w:t xml:space="preserve">The LLM might overcode (it has no structural constraint). Layer 2 validation catches this by requiring a valid KG path for every inference. If the LLM claims hyperglycemia without evidence connected to hyperglycemia in the KG, the inference is rejected.</w:t>
      </w:r>
    </w:p>
    <w:p>
      <w:pPr>
        <w:pStyle w:val="Heading2"/>
        <w:spacing w:before="240" w:after="120"/>
      </w:pPr>
      <w:r>
        <w:rPr>
          <w:b/>
          <w:bCs/>
        </w:rPr>
        <w:t xml:space="preserve">7.2 Inference Transparency</w:t>
      </w:r>
    </w:p>
    <w:p>
      <w:pPr>
        <w:spacing w:after="160" w:line="276"/>
      </w:pPr>
      <w:r>
        <w:t xml:space="preserve">Every code in the output carries an inference_strength field and a needs_review flag. This transparency serves two purposes: it tells the human reviewer which codes were inferred versus explicitly documented, and it provides the reasoning trail for each inference so the reviewer can verify the clinical logic.</w:t>
      </w:r>
    </w:p>
    <w:p>
      <w:pPr>
        <w:pStyle w:val="Heading2"/>
        <w:spacing w:before="240" w:after="120"/>
      </w:pPr>
      <w:r>
        <w:rPr>
          <w:b/>
          <w:bCs/>
        </w:rPr>
        <w:t xml:space="preserve">7.3 Safety Metrics</w:t>
      </w:r>
    </w:p>
    <w:p>
      <w:pPr>
        <w:spacing w:after="160" w:line="276"/>
      </w:pPr>
      <w:r>
        <w:t xml:space="preserve">The evaluation framework tracks clinical safety metrics alongside standard coding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 validity error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Inferences where evidence exists but does not support the conclusion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assigned at higher specificity than evidence supports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Undercoding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Codes where more specific code was justified but not assigned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Unsupported inference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Enrichments not backed by explicit mention or validated KG edge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approaches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enrichments rejected by Layer 1 or Layer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4 only</w:t>
            </w:r>
          </w:p>
        </w:tc>
      </w:tr>
    </w:tbl>
    <w:p>
      <w:pPr>
        <w:pStyle w:val="Heading1"/>
        <w:spacing w:before="240" w:after="120"/>
      </w:pPr>
      <w:r>
        <w:rPr>
          <w:b/>
          <w:bCs/>
        </w:rPr>
        <w:t xml:space="preserve">8. Example Walkthrough: Note 1</w:t>
      </w:r>
    </w:p>
    <w:p>
      <w:pPr>
        <w:spacing w:after="160" w:line="276"/>
      </w:pPr>
      <w:r>
        <w:t xml:space="preserve">Note 1 (Amazon 109224) describes a patient with diabetes mellitus, uncontrolled, with blood sugar of 425 mg/dL and daily insulin injections. The expected codes are E11.65 (Type 2 DM with hyperglycemia) and Z79.4 (long-term insulin use).</w:t>
      </w:r>
    </w:p>
    <w:p>
      <w:pPr>
        <w:pStyle w:val="Heading2"/>
        <w:spacing w:before="240" w:after="120"/>
      </w:pPr>
      <w:r>
        <w:rPr>
          <w:b/>
          <w:bCs/>
        </w:rPr>
        <w:t xml:space="preserve">8.1 Approach 3 Baseline Result</w:t>
      </w:r>
    </w:p>
    <w:p>
      <w:pPr>
        <w:spacing w:after="160" w:line="276"/>
      </w:pPr>
      <w:r>
        <w:t xml:space="preserve">The baseline extracts "Diabetes mellitus" and "insulin" as separate entities. Without context enrichment, "Diabetes mellitus" resolves to SNOMED 73211009 and maps to E11.9 (Type 2 DM, unspecified). The system correctly identifies the condition but cannot determine severity or hyperglycemia because "blood sugar 425" appears in a different section and is not linked to the diabetes entity. The baseline produces E11.9 instead of the expected E11.65.</w:t>
      </w:r>
    </w:p>
    <w:p>
      <w:pPr>
        <w:pStyle w:val="Heading2"/>
        <w:spacing w:before="240" w:after="120"/>
      </w:pPr>
      <w:r>
        <w:rPr>
          <w:b/>
          <w:bCs/>
        </w:rPr>
        <w:t xml:space="preserve">8.2 Approach 3+KG Result</w:t>
      </w:r>
    </w:p>
    <w:p>
      <w:pPr>
        <w:spacing w:after="160" w:line="276"/>
      </w:pPr>
      <w:r>
        <w:t xml:space="preserve">The graph enricher receives all extracted entities including "diabetes mellitus" (PMH), "blood sugar" with value 425 (HPI), and "insulin" (HPI). The traversal proceeds:</w:t>
      </w:r>
    </w:p>
    <w:p>
      <w:pPr>
        <w:pStyle w:val="ListParagraph"/>
        <w:numPr>
          <w:ilvl w:val="0"/>
          <w:numId w:val="3"/>
        </w:numPr>
        <w:spacing w:after="80" w:line="276"/>
      </w:pPr>
      <w:r>
        <w:rPr>
          <w:rFonts w:ascii="Arial" w:cs="Arial" w:eastAsia="Arial" w:hAnsi="Arial"/>
          <w:sz w:val="22"/>
          <w:szCs w:val="22"/>
        </w:rPr>
        <w:t xml:space="preserve">"blood sugar" with value 425 activates the lab_value node. 425 &gt; 400 triggers the edge "blood glucose &gt; 400 -&gt; hyperglycemia" with strength strong_suggestion.</w:t>
      </w:r>
    </w:p>
    <w:p>
      <w:pPr>
        <w:pStyle w:val="ListParagraph"/>
        <w:numPr>
          <w:ilvl w:val="0"/>
          <w:numId w:val="3"/>
        </w:numPr>
        <w:spacing w:after="80" w:line="276"/>
      </w:pPr>
      <w:r>
        <w:rPr>
          <w:rFonts w:ascii="Arial" w:cs="Arial" w:eastAsia="Arial" w:hAnsi="Arial"/>
          <w:sz w:val="22"/>
          <w:szCs w:val="22"/>
        </w:rPr>
        <w:t xml:space="preserve">"diabetes mellitus" activates the condition node. The newly inferred "hyperglycemia" connects via has_complication to produce "diabetes mellitus with hyperglycemia" (strong_suggestion).</w:t>
      </w:r>
    </w:p>
    <w:p>
      <w:pPr>
        <w:pStyle w:val="ListParagraph"/>
        <w:numPr>
          <w:ilvl w:val="0"/>
          <w:numId w:val="3"/>
        </w:numPr>
        <w:spacing w:after="80" w:line="276"/>
      </w:pPr>
      <w:r>
        <w:rPr>
          <w:rFonts w:ascii="Arial" w:cs="Arial" w:eastAsia="Arial" w:hAnsi="Arial"/>
          <w:sz w:val="22"/>
          <w:szCs w:val="22"/>
        </w:rPr>
        <w:t xml:space="preserve">"insulin" activates the medication node. The edge "insulin -&gt; diabetes (treated_by, weak)" confirms the diabetes association but cannot determine type (weak).</w:t>
      </w:r>
    </w:p>
    <w:p>
      <w:pPr>
        <w:spacing w:after="160" w:line="276"/>
      </w:pPr>
      <w:r>
        <w:t xml:space="preserve">The enriched entity "diabetes mellitus with hyperglycemia" resolves to a more specific SNOMED concept, which maps to E11.65 via the crosswalk. The inference_strength is strong_suggestion (from the blood glucose threshold edge) and needs_review is true.</w:t>
      </w:r>
    </w:p>
    <w:p>
      <w:pPr>
        <w:pStyle w:val="Heading2"/>
        <w:spacing w:before="240" w:after="120"/>
      </w:pPr>
      <w:r>
        <w:rPr>
          <w:b/>
          <w:bCs/>
        </w:rPr>
        <w:t xml:space="preserve">8.3 Approach 4 Result</w:t>
      </w:r>
    </w:p>
    <w:p>
      <w:pPr>
        <w:spacing w:after="160" w:line="276"/>
      </w:pPr>
      <w:r>
        <w:t xml:space="preserve">The LLM reads the full note and the extracted entities. It returns an enriched entity stating "Type 2 diabetes mellitus with hyperglycemia" with evidence citing "blood sugar of 425" from HPI. Layer 1 validates that "blood sugar of 425" exists in the note (pass). Layer 2 checks the KG for a valid path from blood_glucose_high to hyperglycemia to diabetes_with_hyperglycemia (pass, strength strong_suggestion). The enriched entity proceeds to SNOMED resolution and maps to E11.65.</w:t>
      </w:r>
    </w:p>
    <w:p>
      <w:pPr>
        <w:spacing w:after="160" w:line="276"/>
      </w:pPr>
      <w:r>
        <w:t xml:space="preserve">Both context-aware approaches produce the correct code E11.65 instead of the baseline's E11.9. The difference: the KG approach arrived there through a defined graph path; the LLM arrived there through natural language reasoning validated against the same graph.</w:t>
      </w:r>
    </w:p>
    <w:p>
      <w:pPr>
        <w:pStyle w:val="Heading1"/>
        <w:spacing w:before="240" w:after="120"/>
      </w:pPr>
      <w:r>
        <w:rPr>
          <w:b/>
          <w:bCs/>
        </w:rPr>
        <w:t xml:space="preserve">9. Future Direction: Hybrid Approach</w:t>
      </w:r>
    </w:p>
    <w:p>
      <w:pPr>
        <w:spacing w:after="160" w:line="276"/>
      </w:pPr>
      <w:r>
        <w:t xml:space="preserve">The logical next step after the POC is a hybrid approach that combines the strengths of both. The KG handles deterministic, well-defined inferences (lab thresholds, medication-to-type mappings) where the rules are clear and the graph has coverage. The LLM handles edge cases that fall outside the graph's coverage, with Layer 2 validation relaxed or replaced by a confidence threshold for inferences the KG cannot validate.</w:t>
      </w:r>
    </w:p>
    <w:p>
      <w:pPr>
        <w:spacing w:after="160" w:line="276"/>
      </w:pPr>
      <w:r>
        <w:t xml:space="preserve">This hybrid would use the KG as the primary enrichment engine and the LLM as a fallback for entities the KG cannot enrich. It would preserve the determinism and explainability of the KG approach for the majority of cases while using the LLM's flexibility for the remainder. The POC's benchmarking results will inform whether this hybrid is worth pursuing based on how often the LLM catches valid inferences that the KG misses.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999999"/>
        <w:sz w:val="18"/>
        <w:szCs w:val="18"/>
      </w:rPr>
      <w:t xml:space="preserve">Clinical NLP to ICD-10 Coding POC</w:t>
    </w:r>
    <w:r>
      <w:t xml:space="preserve">	</w:t>
    </w:r>
    <w:r>
      <w:rPr>
        <w:rFonts w:ascii="Arial" w:cs="Arial" w:eastAsia="Arial" w:hAnsi="Arial"/>
        <w:i/>
        <w:iCs/>
        <w:color w:val="999999"/>
        <w:sz w:val="18"/>
        <w:szCs w:val="18"/>
      </w:rPr>
      <w:t xml:space="preserve">Architecture and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D5A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2026-02-18T16:18:32.218Z</dcterms:created>
  <dcterms:modified xsi:type="dcterms:W3CDTF">2026-02-18T16:18:32.220Z</dcterms:modified>
</cp:coreProperties>
</file>

<file path=docProps/custom.xml><?xml version="1.0" encoding="utf-8"?>
<Properties xmlns="http://schemas.openxmlformats.org/officeDocument/2006/custom-properties" xmlns:vt="http://schemas.openxmlformats.org/officeDocument/2006/docPropsVTypes"/>
</file>