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864AB"/>
          <w:sz w:val="40"/>
          <w:szCs w:val="40"/>
        </w:rPr>
        <w:t xml:space="preserve">CCP Context Aware → IMO Lexicals</w:t>
      </w:r>
    </w:p>
    <w:p>
      <w:pPr>
        <w:spacing w:after="60"/>
        <w:jc w:val="center"/>
      </w:pPr>
      <w:r>
        <w:rPr>
          <w:rFonts w:ascii="Arial" w:cs="Arial" w:eastAsia="Arial" w:hAnsi="Arial"/>
          <w:color w:val="495057"/>
          <w:sz w:val="28"/>
          <w:szCs w:val="28"/>
        </w:rPr>
        <w:t xml:space="preserve">High-Level System Design &amp; Proposed Approaches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E67700"/>
          <w:sz w:val="22"/>
          <w:szCs w:val="22"/>
        </w:rPr>
        <w:t xml:space="preserve">POC Scope: Diabetes Domain</w:t>
      </w:r>
    </w:p>
    <w:p>
      <w:pPr>
        <w:pStyle w:val="Heading1"/>
      </w:pPr>
      <w:r>
        <w:rPr>
          <w:b/>
          <w:bCs/>
        </w:rPr>
        <w:t xml:space="preserve">1. Objective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1E"/>
          <w:sz w:val="22"/>
          <w:szCs w:val="22"/>
        </w:rPr>
        <w:t xml:space="preserve">Build a context-aware clinical NLP system that extracts medical conditions from unstructured clinical notes and maps them to IMO lexical codes. The POC is scoped to the diabetes domain.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Core Hypothesis: </w:t>
      </w:r>
      <w:r>
        <w:rPr>
          <w:rFonts w:ascii="Arial" w:cs="Arial" w:eastAsia="Arial" w:hAnsi="Arial"/>
          <w:sz w:val="22"/>
          <w:szCs w:val="22"/>
        </w:rPr>
        <w:t xml:space="preserve">Sentence-level NER alone produces vague or non-codable results. Adding cross-sentence context enrichment (via Knowledge Graph traversal or LLM reasoning) produces more specific, accurate IMO lexical matches.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 Target: </w:t>
      </w:r>
      <w:r>
        <w:rPr>
          <w:rFonts w:ascii="Arial" w:cs="Arial" w:eastAsia="Arial" w:hAnsi="Arial"/>
          <w:sz w:val="22"/>
          <w:szCs w:val="22"/>
        </w:rPr>
        <w:t xml:space="preserve">IMO lexicals only. ICD-10-CM and SNOMED CT mappings are out of scope for this POC.</w:t>
      </w:r>
    </w:p>
    <w:p>
      <w:pPr>
        <w:pStyle w:val="Heading1"/>
      </w:pPr>
      <w:r>
        <w:rPr>
          <w:b/>
          <w:bCs/>
        </w:rPr>
        <w:t xml:space="preserve">2. Background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1E"/>
          <w:sz w:val="22"/>
          <w:szCs w:val="22"/>
        </w:rPr>
        <w:t xml:space="preserve">Clinical notes contain rich diagnostic information spread across multiple sentences. A single sentence may mention "type 2 diabetes" while another references "hyperglycemia" and a third notes "long-term insulin use." Individually, these produce generic codes. Combined with document-level context, they map to the highly specific IMO lexical: "Type 2 diabetes mellitus with hyperglycemia, with long-term current use of insulin" (IMO 64855341).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1E"/>
          <w:sz w:val="22"/>
          <w:szCs w:val="22"/>
        </w:rPr>
        <w:t xml:space="preserve">The challenge is building a system that performs this cross-sentence reasoning reliably, explainably, and at scale. This POC evaluates six different approaches to determine which combination of components achieves the best results.</w:t>
      </w:r>
    </w:p>
    <w:p>
      <w:pPr>
        <w:pStyle w:val="Heading1"/>
      </w:pPr>
      <w:r>
        <w:rPr>
          <w:b/>
          <w:bCs/>
        </w:rPr>
        <w:t xml:space="preserve">3. Six Proposed Approaches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1E"/>
          <w:sz w:val="22"/>
          <w:szCs w:val="22"/>
        </w:rPr>
        <w:t xml:space="preserve">The approaches are organized into two groups: NER-based (1-3) which use entity extraction as the first step, and No-NER (4-6) which bypass explicit entity extraction.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700"/>
        <w:gridCol w:w="1700"/>
        <w:gridCol w:w="1700"/>
        <w:gridCol w:w="1700"/>
        <w:gridCol w:w="19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64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64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Extraction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64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Enrichment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64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64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64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8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Semantic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F9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IMO Lexicals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Baseline, sentence-level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F9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KG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8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Semantic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F9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IMO Lexicals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Explainable reasoning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LLM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8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Semantic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F9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IMO Lexicals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Flexible, hallucination risk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8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Semantic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F9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IMO Lexicals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Direct matching, no NER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F9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KG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8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Semantic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F9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IMO Lexicals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KG without NER step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LLM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8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Semantic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F9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IMO Lexicals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LLM without NER step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495057"/>
          <w:sz w:val="22"/>
          <w:szCs w:val="22"/>
        </w:rPr>
        <w:t xml:space="preserve">See approach-matrix diagram for visual representation.</w:t>
      </w:r>
    </w:p>
    <w:p>
      <w:pPr>
        <w:pStyle w:val="Heading1"/>
      </w:pPr>
      <w:r>
        <w:rPr>
          <w:b/>
          <w:bCs/>
        </w:rPr>
        <w:t xml:space="preserve">4. Pipeline Stages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1E"/>
          <w:sz w:val="22"/>
          <w:szCs w:val="22"/>
        </w:rPr>
        <w:t xml:space="preserve">All approaches share a common pipeline abstraction with six stages. The difference between approaches is which stages are active and what component handles each stage.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400"/>
        <w:gridCol w:w="3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64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64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64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64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By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B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①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B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Evidence Extraction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Extract entities + modifiers from clinical note using NER models, LLM, or direct embedding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Approaches 1, 2, 3 (NER); Skipped by 4, 5, 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Mention-Level Entity Linking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Link extracted mentions to candidate IMO lexicals via embedding similarity, KG traversal, or LLM reasoning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All approaches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F9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③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F9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Filter to Domain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Filter candidate IMO lexicals to diabetes domain using IMO Diabetes Knowledge Graph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All approaches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④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Document-Level Entity Inference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Cross-sentence context resolution. Combine mention-level entities into document-level clinical concepts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All approaches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Relevance Scoring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Rank and score candidate IMO lexicals with confidence scores, evidence spans, and review flags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All approaches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92A2A"/>
                <w:sz w:val="20"/>
                <w:szCs w:val="20"/>
              </w:rPr>
              <w:t xml:space="preserve">Mapping (Out of Scope)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92A2A"/>
                <w:sz w:val="18"/>
                <w:szCs w:val="18"/>
              </w:rPr>
              <w:t xml:space="preserve">IMO Lexical → ICD-10-CM / SNOMED CT. Not part of current POC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92A2A"/>
                <w:sz w:val="18"/>
                <w:szCs w:val="18"/>
              </w:rPr>
              <w:t xml:space="preserve">Future scope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495057"/>
          <w:sz w:val="22"/>
          <w:szCs w:val="22"/>
        </w:rPr>
        <w:t xml:space="preserve">See pipeline-stages diagram for visual representation.</w:t>
      </w:r>
    </w:p>
    <w:p>
      <w:pPr>
        <w:pStyle w:val="Heading1"/>
      </w:pPr>
      <w:r>
        <w:rPr>
          <w:b/>
          <w:bCs/>
        </w:rPr>
        <w:t xml:space="preserve">5. Shared Components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1E"/>
          <w:sz w:val="22"/>
          <w:szCs w:val="22"/>
        </w:rPr>
        <w:t xml:space="preserve">All approaches share common components built behind a factory pattern, enabling swappable models for benchmarking.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64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64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64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Note Parser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Parse clinical notes into sections with character offsets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Custom parser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NER Factory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Extract clinical entities from text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CCP, ScispaCy, Stanza, BioBERT_ner, Med7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Embedding Factory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Generate vector representations of clinical text for similarity matching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IMO embeddings (Joel), SapBERT, BioBERT, PubBERT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Semantic Resolver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Find best match against IMO terminology using embeddings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FAISS / cosine similarity + reranker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Output Formatter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Structure raw results into standardized format: IMO lexicals, confidence scores, evidence spans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Pydantic models + table renderer</w:t>
            </w:r>
          </w:p>
        </w:tc>
      </w:tr>
    </w:tbl>
    <w:p>
      <w:pPr>
        <w:pStyle w:val="Heading1"/>
      </w:pPr>
      <w:r>
        <w:rPr>
          <w:b/>
          <w:bCs/>
        </w:rPr>
        <w:t xml:space="preserve">6. Experiment Plan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1E"/>
          <w:sz w:val="22"/>
          <w:szCs w:val="22"/>
        </w:rPr>
        <w:t xml:space="preserve">Experiments are sequenced in three phases, ordered by dependency availability.</w:t>
      </w:r>
    </w:p>
    <w:p>
      <w:pPr>
        <w:spacing w:after="60"/>
      </w:pPr>
    </w:p>
    <w:p>
      <w:pPr>
        <w:pStyle w:val="Heading2"/>
      </w:pPr>
      <w:r>
        <w:rPr>
          <w:b/>
          <w:bCs/>
        </w:rPr>
        <w:t xml:space="preserve">Phase 1: Baselines (No Dependencies)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Experiment 1: Approach 1 (NER → Semantic) — sentence-level NER with public embeddings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Experiment 2: Approach 4 (Direct Semantic) — no NER, direct sentence embedding against IMO lexicals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Question: </w:t>
      </w:r>
      <w:r>
        <w:rPr>
          <w:rFonts w:ascii="Arial" w:cs="Arial" w:eastAsia="Arial" w:hAnsi="Arial"/>
          <w:sz w:val="22"/>
          <w:szCs w:val="22"/>
        </w:rPr>
        <w:t xml:space="preserve">Does NER extraction improve over direct semantic matching?</w:t>
      </w:r>
    </w:p>
    <w:p>
      <w:pPr>
        <w:spacing w:after="60"/>
      </w:pPr>
    </w:p>
    <w:p>
      <w:pPr>
        <w:pStyle w:val="Heading2"/>
      </w:pPr>
      <w:r>
        <w:rPr>
          <w:b/>
          <w:bCs/>
        </w:rPr>
        <w:t xml:space="preserve">Phase 2: LLM Enrichment (No Dependencies)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Experiment 3: Approach 3 (NER → LLM → Semantic) — NER extraction with LLM context enrichment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Experiment 4: Approach 6 (LLM → Semantic) — LLM reads full note, produces enriched entities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Question: </w:t>
      </w:r>
      <w:r>
        <w:rPr>
          <w:rFonts w:ascii="Arial" w:cs="Arial" w:eastAsia="Arial" w:hAnsi="Arial"/>
          <w:sz w:val="22"/>
          <w:szCs w:val="22"/>
        </w:rPr>
        <w:t xml:space="preserve">Does LLM context enrichment improve specificity of IMO lexical matching?</w:t>
      </w:r>
    </w:p>
    <w:p>
      <w:pPr>
        <w:spacing w:after="60"/>
      </w:pPr>
    </w:p>
    <w:p>
      <w:pPr>
        <w:pStyle w:val="Heading2"/>
      </w:pPr>
      <w:r>
        <w:rPr>
          <w:b/>
          <w:bCs/>
        </w:rPr>
        <w:t xml:space="preserve">Phase 3: KG Enrichment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Experiment 5: Approach 2 (NER → KG → Semantic) — NER extraction with Knowledge Graph enrichment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Experiment 6: Approach 5 (KG → Semantic) — Knowledge Graph enrichment without NER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Question: </w:t>
      </w:r>
      <w:r>
        <w:rPr>
          <w:rFonts w:ascii="Arial" w:cs="Arial" w:eastAsia="Arial" w:hAnsi="Arial"/>
          <w:sz w:val="22"/>
          <w:szCs w:val="22"/>
        </w:rPr>
        <w:t xml:space="preserve">Does structured KG enrichment outperform LLM enrichment?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495057"/>
          <w:sz w:val="22"/>
          <w:szCs w:val="22"/>
        </w:rPr>
        <w:t xml:space="preserve">See experiment-sequence diagram for visual representation.</w:t>
      </w:r>
    </w:p>
    <w:p>
      <w:pPr>
        <w:pStyle w:val="Heading1"/>
      </w:pPr>
      <w:r>
        <w:rPr>
          <w:b/>
          <w:bCs/>
        </w:rPr>
        <w:t xml:space="preserve">7. Evaluation Framework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1E"/>
          <w:sz w:val="22"/>
          <w:szCs w:val="22"/>
        </w:rPr>
        <w:t xml:space="preserve">All approaches produce identical output format, enabling direct comparison across the following metrics: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64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64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Precision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Of the IMO lexicals returned, how many are correct?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Recall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Of all correct IMO lexicals, how many were found?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Specificity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How specific are the matched lexicals? (e.g., E11.65 vs E11.9 equivalent)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Code Coverage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Percentage of clinical concepts in the note that received an IMO lexical match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Latency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Processing time per clinical note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Gold Standard: </w:t>
      </w:r>
      <w:r>
        <w:rPr>
          <w:rFonts w:ascii="Arial" w:cs="Arial" w:eastAsia="Arial" w:hAnsi="Arial"/>
          <w:sz w:val="22"/>
          <w:szCs w:val="22"/>
        </w:rPr>
        <w:t xml:space="preserve">5,000-note annotated corpus with sentence-level clinical expert annotations (to be obtained).</w:t>
      </w:r>
    </w:p>
    <w:p>
      <w:pPr>
        <w:pStyle w:val="Heading1"/>
      </w:pPr>
      <w:r>
        <w:rPr>
          <w:b/>
          <w:bCs/>
        </w:rPr>
        <w:t xml:space="preserve">8.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60"/>
        <w:gridCol w:w="25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64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64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64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Affects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Joel's production embeddings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Swap into all semantic resolvers for improved matching quality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All approaches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IMO terminology access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Required as the target terminology for semantic resolution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All approaches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IMO Diabetes Graph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Enable KG-based enrichment and domain filtering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Approaches 2, 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5K annotated corpus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Establish evaluation benchmark and gold standard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All approaches</w:t>
            </w:r>
          </w:p>
        </w:tc>
      </w:tr>
    </w:tbl>
    <w:p>
      <w:pPr>
        <w:pStyle w:val="Heading1"/>
      </w:pPr>
      <w:r>
        <w:rPr>
          <w:b/>
          <w:bCs/>
        </w:rPr>
        <w:t xml:space="preserve">9.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64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64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Language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Python 3.11+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API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FastAPI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NER Models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CCP, ScispaCy, Stanza, BioBERT_ner, Med7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Embedding Models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SapBERT, BioBERT, PubBERT, IMO embeddings (Joel)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LLM (Enrichment)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Qwen 2.5 7B, Llama 3.1 8B, BioMistral 7B (via Ollama)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LLM (Baseline)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Claude via AWS Bedrock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Vector Search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FAISS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Knowledge Graph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IMO Diabetes Graph (when available)</w:t>
            </w:r>
          </w:p>
        </w:tc>
      </w:tr>
    </w:tbl>
    <w:p>
      <w:pPr>
        <w:pStyle w:val="Heading1"/>
      </w:pPr>
      <w:r>
        <w:rPr>
          <w:b/>
          <w:bCs/>
        </w:rPr>
        <w:t xml:space="preserve">10. Key Suggested Steps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 Phase 1 baseline experiments (Approaches 1 &amp; 4) with public embeddings and data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Connect with Joel on production embeddings and integrate into semantic resolvers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Collaborate with Qiang on KG design and reranking strategy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Integrate IMO terminology once access is available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Diabetes Knowledge Graph and run Phase 3 experiments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Establish evaluation benchmark with 5K annotated corpus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Final benchmark: all 6 approaches ranked by precision, recall, specificity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864A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E1E1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9505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2026-02-19T21:38:12.017Z</dcterms:created>
  <dcterms:modified xsi:type="dcterms:W3CDTF">2026-02-19T21:38:12.018Z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