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0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Selected Transaction Experience: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  <w:u w:val="single"/>
        </w:rPr>
        <w:t xml:space="preserve">Series A Investment in Mojro Technologies for $5.5 million:</w:t>
      </w:r>
      <w:r>
        <w:rPr>
          <w:rFonts w:ascii="EB Garamond" w:cs="EB Garamond" w:eastAsia="EB Garamond" w:hAnsi="EB Garamond"/>
          <w:sz w:val="20"/>
          <w:szCs w:val="20"/>
        </w:rPr>
        <w:t xml:space="preserve"> DVC led $2.5M extension into AI-driven logistics platform (Closed April 2026)</w:t>
      </w:r>
    </w:p>
    <w:p>
      <w:pPr>
        <w:pStyle w:val="ListParagraph"/>
        <w:numPr>
          <w:ilvl w:val="1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pro forma cap table and dilution for the $2.5M extension, reconciling DVC's ownership alongside IAN Alpha Fund and 1Crowd</w:t>
      </w:r>
    </w:p>
    <w:p>
      <w:pPr>
        <w:pStyle w:val="ListParagraph"/>
        <w:numPr>
          <w:ilvl w:val="1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Set up post-close ARR, NRR, and customer pilot tracking with Mojro's finance team, feeding DVC's quarterly portfolio updates to LPs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highly competitive 18+-month fellowship accelerating emerging leaders' careers through coaching, mentorship, and skill-building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Develop business acumen through case studies, simulations, and real-world projects that strengthen analytical, strategic, and leadership skills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 with leading Fortune 500 partner organizations to gain industry exposure and insight into consulting and corporate career pathways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Participant, M&amp;A Pitch Competition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six figures in first-year sales;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WILSkills, The Hustler, Front of House (Runner)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2026-10-07T05:40:02.519Z</dcterms:created>
  <dcterms:modified xsi:type="dcterms:W3CDTF">2026-10-07T05:40:02.530Z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