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0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a complete CIM for a separate sell-side mandate, covering historical financials, customer concentration metrics, and market dynamics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Selected Transaction Experience: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  <w:u w:val="single"/>
        </w:rPr>
        <w:t xml:space="preserve">Series A Investment in Mojro Technologies for $5.5 million:</w:t>
      </w:r>
      <w:r>
        <w:rPr>
          <w:rFonts w:ascii="EB Garamond" w:cs="EB Garamond" w:eastAsia="EB Garamond" w:hAnsi="EB Garamond"/>
          <w:sz w:val="20"/>
          <w:szCs w:val="20"/>
        </w:rPr>
        <w:t xml:space="preserve"> DVC led $2.5M extension into AI-driven logistics platform (Closed April 2026)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pro forma cap table and dilution for the $2.5M extension, reconciling DVC's ownership alongside IAN Alpha Fund and 1Crowd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Set up post-close ARR, NRR, and customer pilot tracking with Mojro's finance team, feeding DVC's quarterly portfolio updates to LPs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Participant, M&amp;A Pitch Competition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Financial Statement Analysis, Valuation, Precedent Transactions, Diligence Support, Python, Codex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Certifications &amp; Training: </w:t>
      </w:r>
      <w:r>
        <w:rPr>
          <w:rFonts w:ascii="EB Garamond" w:cs="EB Garamond" w:eastAsia="EB Garamond" w:hAnsi="EB Garamond"/>
          <w:sz w:val="20"/>
          <w:szCs w:val="20"/>
        </w:rPr>
        <w:t xml:space="preserve">Wall Street Prep Financial &amp; Valuation Modeling (DCF, LBO, M&amp;A, Comps)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Basketball, Making Waffles, 2000s Fashion, Stand-Up Comedy, TV Dramas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2026-10-03T23:58:49.372Z</dcterms:created>
  <dcterms:modified xsi:type="dcterms:W3CDTF">2026-10-03T23:58:49.372Z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