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SUPPLIER AUDIT REPORT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SUPPLIER 3S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Lines w:val="1"/>
        <w:numPr>
          <w:ilvl w:val="0"/>
          <w:numId w:val="1"/>
        </w:numPr>
        <w:ind w:left="720" w:hanging="720"/>
        <w:jc w:val="both"/>
        <w:rPr/>
      </w:pPr>
      <w:bookmarkStart w:colFirst="0" w:colLast="0" w:name="_heading=h.mbcbwcpzclp2" w:id="0"/>
      <w:bookmarkEnd w:id="0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0C">
      <w:pPr>
        <w:pStyle w:val="Heading2"/>
        <w:keepLines w:val="1"/>
        <w:numPr>
          <w:ilvl w:val="1"/>
          <w:numId w:val="1"/>
        </w:numPr>
        <w:ind w:left="1440" w:hanging="720"/>
        <w:jc w:val="both"/>
        <w:rPr/>
      </w:pPr>
      <w:r w:rsidDel="00000000" w:rsidR="00000000" w:rsidRPr="00000000">
        <w:rPr>
          <w:rtl w:val="0"/>
        </w:rPr>
        <w:t xml:space="preserve">This report applies to the on-site audit performed at the Supplier 3 facility located in Cleveland, OH. The purpose of the audit was a surveillance audit and to evaluate Supplier 3s’ compliance with its internal quality system procedures and the effectiveness and suitability of its Quality Management System per ISO 13485:2016.</w:t>
      </w:r>
    </w:p>
    <w:p w:rsidR="00000000" w:rsidDel="00000000" w:rsidP="00000000" w:rsidRDefault="00000000" w:rsidRPr="00000000" w14:paraId="0000000D">
      <w:pPr>
        <w:keepNext w:val="1"/>
        <w:keepLines w:val="1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Lines w:val="1"/>
        <w:numPr>
          <w:ilvl w:val="0"/>
          <w:numId w:val="1"/>
        </w:numPr>
        <w:ind w:left="720" w:hanging="720"/>
        <w:jc w:val="both"/>
        <w:rPr/>
      </w:pPr>
      <w:bookmarkStart w:colFirst="0" w:colLast="0" w:name="_heading=h.wcwtthpttggd" w:id="1"/>
      <w:bookmarkEnd w:id="1"/>
      <w:r w:rsidDel="00000000" w:rsidR="00000000" w:rsidRPr="00000000">
        <w:rPr>
          <w:rtl w:val="0"/>
        </w:rPr>
        <w:t xml:space="preserve">BACKGROUND INFORMATION</w:t>
      </w:r>
    </w:p>
    <w:p w:rsidR="00000000" w:rsidDel="00000000" w:rsidP="00000000" w:rsidRDefault="00000000" w:rsidRPr="00000000" w14:paraId="0000000F">
      <w:pPr>
        <w:pStyle w:val="Heading2"/>
        <w:keepLines w:val="1"/>
        <w:numPr>
          <w:ilvl w:val="1"/>
          <w:numId w:val="1"/>
        </w:numPr>
        <w:ind w:left="1440" w:hanging="720"/>
        <w:jc w:val="both"/>
        <w:rPr/>
      </w:pPr>
      <w:r w:rsidDel="00000000" w:rsidR="00000000" w:rsidRPr="00000000">
        <w:rPr>
          <w:rtl w:val="0"/>
        </w:rPr>
        <w:t xml:space="preserve">Supplier 3 manufacturers PCBA, box builds, and provides testing services</w:t>
      </w:r>
    </w:p>
    <w:p w:rsidR="00000000" w:rsidDel="00000000" w:rsidP="00000000" w:rsidRDefault="00000000" w:rsidRPr="00000000" w14:paraId="00000010">
      <w:pPr>
        <w:pStyle w:val="Heading2"/>
        <w:keepLines w:val="1"/>
        <w:numPr>
          <w:ilvl w:val="1"/>
          <w:numId w:val="1"/>
        </w:numPr>
        <w:ind w:left="1440" w:hanging="720"/>
        <w:jc w:val="both"/>
        <w:rPr/>
      </w:pPr>
      <w:r w:rsidDel="00000000" w:rsidR="00000000" w:rsidRPr="00000000">
        <w:rPr>
          <w:rtl w:val="0"/>
        </w:rPr>
        <w:t xml:space="preserve">Supplier 3 manufactures DW-1234 (Common Baseboard), DW-2345 (Encoder Wiring Shield), DW-7896 (Encoder Wiring Shield), DW-0976-00 (Common Baseboard), DW-1111 (Encoder boards) and OS-0111 (DCVA Encoder Board) for Customer </w:t>
      </w:r>
    </w:p>
    <w:p w:rsidR="00000000" w:rsidDel="00000000" w:rsidP="00000000" w:rsidRDefault="00000000" w:rsidRPr="00000000" w14:paraId="00000011">
      <w:pPr>
        <w:keepNext w:val="1"/>
        <w:keepLines w:val="1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Lines w:val="1"/>
        <w:numPr>
          <w:ilvl w:val="0"/>
          <w:numId w:val="1"/>
        </w:numPr>
        <w:ind w:left="720" w:hanging="720"/>
        <w:jc w:val="both"/>
        <w:rPr/>
      </w:pPr>
      <w:bookmarkStart w:colFirst="0" w:colLast="0" w:name="_heading=h.jk02dtrzyyc1" w:id="2"/>
      <w:bookmarkEnd w:id="2"/>
      <w:r w:rsidDel="00000000" w:rsidR="00000000" w:rsidRPr="00000000">
        <w:rPr>
          <w:rtl w:val="0"/>
        </w:rPr>
        <w:t xml:space="preserve">SUMMARY OF AUDIT</w:t>
      </w:r>
    </w:p>
    <w:p w:rsidR="00000000" w:rsidDel="00000000" w:rsidP="00000000" w:rsidRDefault="00000000" w:rsidRPr="00000000" w14:paraId="00000013">
      <w:pPr>
        <w:pStyle w:val="Heading2"/>
        <w:keepLines w:val="1"/>
        <w:numPr>
          <w:ilvl w:val="1"/>
          <w:numId w:val="1"/>
        </w:numPr>
        <w:ind w:left="1440" w:hanging="720"/>
        <w:jc w:val="both"/>
        <w:rPr/>
      </w:pPr>
      <w:bookmarkStart w:colFirst="0" w:colLast="0" w:name="_heading=h.at9f2kmg1i77" w:id="3"/>
      <w:bookmarkEnd w:id="3"/>
      <w:r w:rsidDel="00000000" w:rsidR="00000000" w:rsidRPr="00000000">
        <w:rPr>
          <w:rtl w:val="0"/>
        </w:rPr>
        <w:t xml:space="preserve">This audit was completed by Customer personnel John Doe, and Bob Martin (Supplier 3) hosted and was the main contact throughout the audit.</w:t>
      </w:r>
    </w:p>
    <w:p w:rsidR="00000000" w:rsidDel="00000000" w:rsidP="00000000" w:rsidRDefault="00000000" w:rsidRPr="00000000" w14:paraId="00000014">
      <w:pPr>
        <w:pStyle w:val="Heading2"/>
        <w:keepLines w:val="1"/>
        <w:numPr>
          <w:ilvl w:val="1"/>
          <w:numId w:val="1"/>
        </w:numPr>
        <w:ind w:left="1440" w:hanging="720"/>
        <w:jc w:val="both"/>
        <w:rPr/>
      </w:pPr>
      <w:r w:rsidDel="00000000" w:rsidR="00000000" w:rsidRPr="00000000">
        <w:rPr>
          <w:rtl w:val="0"/>
        </w:rPr>
        <w:t xml:space="preserve">Audit Agenda (Attachment #1) and Audit Checklist (Attachment #2) detailed the area/functions that were audited to ensure compliance with their internal quality procedures.</w:t>
      </w:r>
    </w:p>
    <w:p w:rsidR="00000000" w:rsidDel="00000000" w:rsidP="00000000" w:rsidRDefault="00000000" w:rsidRPr="00000000" w14:paraId="00000015">
      <w:pPr>
        <w:pStyle w:val="Heading2"/>
        <w:keepLines w:val="1"/>
        <w:numPr>
          <w:ilvl w:val="1"/>
          <w:numId w:val="1"/>
        </w:numPr>
        <w:ind w:left="1440" w:hanging="720"/>
        <w:jc w:val="both"/>
        <w:rPr/>
      </w:pPr>
      <w:r w:rsidDel="00000000" w:rsidR="00000000" w:rsidRPr="00000000">
        <w:rPr>
          <w:rtl w:val="0"/>
        </w:rPr>
        <w:t xml:space="preserve">Evidence of the procedures and records reviewed were documented in the checklist (Attachment #2) </w:t>
      </w:r>
    </w:p>
    <w:p w:rsidR="00000000" w:rsidDel="00000000" w:rsidP="00000000" w:rsidRDefault="00000000" w:rsidRPr="00000000" w14:paraId="00000016">
      <w:pPr>
        <w:keepNext w:val="1"/>
        <w:keepLines w:val="1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Lines w:val="1"/>
        <w:numPr>
          <w:ilvl w:val="0"/>
          <w:numId w:val="1"/>
        </w:numPr>
        <w:ind w:left="720" w:hanging="720"/>
        <w:jc w:val="both"/>
        <w:rPr/>
      </w:pPr>
      <w:bookmarkStart w:colFirst="0" w:colLast="0" w:name="_heading=h.pv1ocyk7amo0" w:id="4"/>
      <w:bookmarkEnd w:id="4"/>
      <w:r w:rsidDel="00000000" w:rsidR="00000000" w:rsidRPr="00000000">
        <w:rPr>
          <w:rtl w:val="0"/>
        </w:rPr>
        <w:t xml:space="preserve">AUDIT RESULTS / OBSERVATIONS</w:t>
      </w:r>
    </w:p>
    <w:p w:rsidR="00000000" w:rsidDel="00000000" w:rsidP="00000000" w:rsidRDefault="00000000" w:rsidRPr="00000000" w14:paraId="00000018">
      <w:pPr>
        <w:pStyle w:val="Heading2"/>
        <w:keepLines w:val="1"/>
        <w:numPr>
          <w:ilvl w:val="1"/>
          <w:numId w:val="1"/>
        </w:numPr>
        <w:ind w:left="1440" w:hanging="720"/>
        <w:jc w:val="both"/>
        <w:rPr/>
      </w:pPr>
      <w:r w:rsidDel="00000000" w:rsidR="00000000" w:rsidRPr="00000000">
        <w:rPr>
          <w:rtl w:val="0"/>
        </w:rPr>
        <w:t xml:space="preserve">During the audit, </w:t>
      </w:r>
      <w:r w:rsidDel="00000000" w:rsidR="00000000" w:rsidRPr="00000000">
        <w:rPr>
          <w:u w:val="single"/>
          <w:rtl w:val="0"/>
        </w:rPr>
        <w:t xml:space="preserve">two major and 1 minor finding</w:t>
      </w:r>
      <w:r w:rsidDel="00000000" w:rsidR="00000000" w:rsidRPr="00000000">
        <w:rPr>
          <w:rtl w:val="0"/>
        </w:rPr>
        <w:t xml:space="preserve"> were observed.</w:t>
      </w:r>
    </w:p>
    <w:p w:rsidR="00000000" w:rsidDel="00000000" w:rsidP="00000000" w:rsidRDefault="00000000" w:rsidRPr="00000000" w14:paraId="00000019">
      <w:pPr>
        <w:pStyle w:val="Heading3"/>
        <w:numPr>
          <w:ilvl w:val="2"/>
          <w:numId w:val="1"/>
        </w:numPr>
        <w:ind w:left="2160" w:hanging="720"/>
        <w:rPr/>
      </w:pPr>
      <w:r w:rsidDel="00000000" w:rsidR="00000000" w:rsidRPr="00000000">
        <w:rPr>
          <w:rtl w:val="0"/>
        </w:rPr>
        <w:t xml:space="preserve">Missing Calibration Documents for Tools A &amp; B</w:t>
      </w:r>
    </w:p>
    <w:p w:rsidR="00000000" w:rsidDel="00000000" w:rsidP="00000000" w:rsidRDefault="00000000" w:rsidRPr="00000000" w14:paraId="0000001A">
      <w:pPr>
        <w:pStyle w:val="Heading3"/>
        <w:numPr>
          <w:ilvl w:val="2"/>
          <w:numId w:val="1"/>
        </w:numPr>
        <w:ind w:left="2160" w:hanging="720"/>
        <w:rPr/>
      </w:pPr>
      <w:r w:rsidDel="00000000" w:rsidR="00000000" w:rsidRPr="00000000">
        <w:rPr>
          <w:rtl w:val="0"/>
        </w:rPr>
        <w:t xml:space="preserve">Missing Receiving Documents for incoming raw materials SN 1 &amp; SN2. </w:t>
      </w:r>
    </w:p>
    <w:p w:rsidR="00000000" w:rsidDel="00000000" w:rsidP="00000000" w:rsidRDefault="00000000" w:rsidRPr="00000000" w14:paraId="0000001B">
      <w:pPr>
        <w:pStyle w:val="Heading3"/>
        <w:numPr>
          <w:ilvl w:val="2"/>
          <w:numId w:val="1"/>
        </w:numPr>
        <w:ind w:left="2160" w:hanging="720"/>
        <w:rPr/>
      </w:pPr>
      <w:r w:rsidDel="00000000" w:rsidR="00000000" w:rsidRPr="00000000">
        <w:rPr>
          <w:rtl w:val="0"/>
        </w:rPr>
        <w:t xml:space="preserve">Audit report corrections were not closed before the due date and no approved extension was found</w:t>
      </w:r>
    </w:p>
    <w:p w:rsidR="00000000" w:rsidDel="00000000" w:rsidP="00000000" w:rsidRDefault="00000000" w:rsidRPr="00000000" w14:paraId="0000001C">
      <w:pPr>
        <w:pStyle w:val="Heading2"/>
        <w:keepLines w:val="1"/>
        <w:spacing w:before="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Lines w:val="1"/>
        <w:numPr>
          <w:ilvl w:val="0"/>
          <w:numId w:val="1"/>
        </w:numPr>
        <w:ind w:left="720" w:hanging="720"/>
        <w:jc w:val="both"/>
        <w:rPr/>
      </w:pPr>
      <w:bookmarkStart w:colFirst="0" w:colLast="0" w:name="_heading=h.nflxlwps1lte" w:id="5"/>
      <w:bookmarkEnd w:id="5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E">
      <w:pPr>
        <w:pStyle w:val="Heading2"/>
        <w:keepLines w:val="1"/>
        <w:numPr>
          <w:ilvl w:val="1"/>
          <w:numId w:val="1"/>
        </w:numPr>
        <w:ind w:left="1440" w:hanging="720"/>
        <w:jc w:val="both"/>
        <w:rPr/>
      </w:pPr>
      <w:r w:rsidDel="00000000" w:rsidR="00000000" w:rsidRPr="00000000">
        <w:rPr>
          <w:rtl w:val="0"/>
        </w:rPr>
        <w:t xml:space="preserve">The outcome of the audit demonstrates that Supplier 3s remains professional and knowledgeable about its processes and systems. </w:t>
      </w:r>
    </w:p>
    <w:p w:rsidR="00000000" w:rsidDel="00000000" w:rsidP="00000000" w:rsidRDefault="00000000" w:rsidRPr="00000000" w14:paraId="0000001F">
      <w:pPr>
        <w:pStyle w:val="Heading2"/>
        <w:keepLines w:val="1"/>
        <w:numPr>
          <w:ilvl w:val="1"/>
          <w:numId w:val="1"/>
        </w:numPr>
        <w:ind w:left="1440" w:hanging="720"/>
        <w:jc w:val="both"/>
        <w:rPr/>
      </w:pPr>
      <w:r w:rsidDel="00000000" w:rsidR="00000000" w:rsidRPr="00000000">
        <w:rPr>
          <w:rtl w:val="0"/>
        </w:rPr>
        <w:t xml:space="preserve">Supplier 3s shall remain on Customer’s approved supplier list and will be a critical supplier.</w:t>
      </w:r>
    </w:p>
    <w:p w:rsidR="00000000" w:rsidDel="00000000" w:rsidP="00000000" w:rsidRDefault="00000000" w:rsidRPr="00000000" w14:paraId="00000020">
      <w:pPr>
        <w:pStyle w:val="Heading2"/>
        <w:keepLines w:val="1"/>
        <w:numPr>
          <w:ilvl w:val="1"/>
          <w:numId w:val="1"/>
        </w:numPr>
        <w:ind w:left="1440" w:hanging="720"/>
        <w:jc w:val="both"/>
        <w:rPr>
          <w:i w:val="1"/>
        </w:rPr>
      </w:pPr>
      <w:r w:rsidDel="00000000" w:rsidR="00000000" w:rsidRPr="00000000">
        <w:rPr>
          <w:rtl w:val="0"/>
        </w:rPr>
        <w:t xml:space="preserve">The next audit is expected to schedule in the year </w:t>
      </w:r>
      <w:r w:rsidDel="00000000" w:rsidR="00000000" w:rsidRPr="00000000">
        <w:rPr>
          <w:b w:val="1"/>
          <w:highlight w:val="yellow"/>
          <w:u w:val="single"/>
          <w:rtl w:val="0"/>
        </w:rPr>
        <w:t xml:space="preserve">2026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Lines w:val="1"/>
        <w:numPr>
          <w:ilvl w:val="0"/>
          <w:numId w:val="1"/>
        </w:numPr>
        <w:ind w:left="720" w:hanging="720"/>
        <w:jc w:val="both"/>
        <w:rPr/>
      </w:pPr>
      <w:bookmarkStart w:colFirst="0" w:colLast="0" w:name="_heading=h.7ntyiw49wxiv" w:id="6"/>
      <w:bookmarkEnd w:id="6"/>
      <w:r w:rsidDel="00000000" w:rsidR="00000000" w:rsidRPr="00000000">
        <w:rPr>
          <w:rtl w:val="0"/>
        </w:rPr>
        <w:t xml:space="preserve">ATTACHMENTS</w:t>
      </w:r>
    </w:p>
    <w:p w:rsidR="00000000" w:rsidDel="00000000" w:rsidP="00000000" w:rsidRDefault="00000000" w:rsidRPr="00000000" w14:paraId="00000023">
      <w:pPr>
        <w:pStyle w:val="Heading2"/>
        <w:keepLines w:val="1"/>
        <w:numPr>
          <w:ilvl w:val="1"/>
          <w:numId w:val="1"/>
        </w:numPr>
        <w:ind w:left="1440" w:hanging="720"/>
        <w:jc w:val="both"/>
        <w:rPr/>
      </w:pPr>
      <w:r w:rsidDel="00000000" w:rsidR="00000000" w:rsidRPr="00000000">
        <w:rPr>
          <w:rtl w:val="0"/>
        </w:rPr>
        <w:t xml:space="preserve">Attachment #1 – Audit Agenda</w:t>
      </w:r>
    </w:p>
    <w:p w:rsidR="00000000" w:rsidDel="00000000" w:rsidP="00000000" w:rsidRDefault="00000000" w:rsidRPr="00000000" w14:paraId="00000024">
      <w:pPr>
        <w:pStyle w:val="Heading2"/>
        <w:keepLines w:val="1"/>
        <w:numPr>
          <w:ilvl w:val="1"/>
          <w:numId w:val="1"/>
        </w:numPr>
        <w:ind w:left="1440" w:hanging="720"/>
        <w:jc w:val="both"/>
        <w:rPr/>
      </w:pPr>
      <w:r w:rsidDel="00000000" w:rsidR="00000000" w:rsidRPr="00000000">
        <w:rPr>
          <w:rtl w:val="0"/>
        </w:rPr>
        <w:t xml:space="preserve">Attachment #2- Audit Checklist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tabs>
          <w:tab w:val="left" w:leader="none" w:pos="5392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Lines w:val="1"/>
        <w:numPr>
          <w:ilvl w:val="0"/>
          <w:numId w:val="1"/>
        </w:numPr>
        <w:ind w:left="720" w:hanging="720"/>
        <w:rPr/>
      </w:pPr>
      <w:r w:rsidDel="00000000" w:rsidR="00000000" w:rsidRPr="00000000">
        <w:rPr>
          <w:rtl w:val="0"/>
        </w:rPr>
        <w:t xml:space="preserve">APPROVAL SIGNATURES</w:t>
      </w:r>
    </w:p>
    <w:tbl>
      <w:tblPr>
        <w:tblStyle w:val="Table1"/>
        <w:tblW w:w="99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8"/>
        <w:gridCol w:w="632"/>
        <w:gridCol w:w="990"/>
        <w:gridCol w:w="3060"/>
        <w:gridCol w:w="1530"/>
        <w:tblGridChange w:id="0">
          <w:tblGrid>
            <w:gridCol w:w="3688"/>
            <w:gridCol w:w="632"/>
            <w:gridCol w:w="990"/>
            <w:gridCol w:w="3060"/>
            <w:gridCol w:w="1530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Customer</w:t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3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color w:val="0000ff"/>
                <w:sz w:val="22"/>
                <w:szCs w:val="22"/>
                <w:rtl w:val="0"/>
              </w:rPr>
              <w:t xml:space="preserve">Auditor Name/Title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color w:val="0000ff"/>
                <w:sz w:val="22"/>
                <w:szCs w:val="22"/>
                <w:rtl w:val="0"/>
              </w:rPr>
              <w:t xml:space="preserve">Auditor Name/Title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ind w:left="50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Supplier 3s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3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color w:val="0000ff"/>
                <w:sz w:val="22"/>
                <w:szCs w:val="22"/>
                <w:rtl w:val="0"/>
              </w:rPr>
              <w:t xml:space="preserve">Supplier Representative/Title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tabs>
          <w:tab w:val="left" w:leader="none" w:pos="5392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5392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350" w:right="1440" w:header="36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6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ed7d31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890.0" w:type="dxa"/>
      <w:jc w:val="left"/>
      <w:tblInd w:w="-72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</w:tblBorders>
      <w:tblLayout w:type="fixed"/>
      <w:tblLook w:val="0000"/>
    </w:tblPr>
    <w:tblGrid>
      <w:gridCol w:w="7115"/>
      <w:gridCol w:w="3775"/>
      <w:tblGridChange w:id="0">
        <w:tblGrid>
          <w:gridCol w:w="7115"/>
          <w:gridCol w:w="3775"/>
        </w:tblGrid>
      </w:tblGridChange>
    </w:tblGrid>
    <w:tr>
      <w:trPr>
        <w:cantSplit w:val="0"/>
        <w:trHeight w:val="714" w:hRule="atLeast"/>
        <w:tblHeader w:val="0"/>
      </w:trPr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43">
          <w:pPr>
            <w:spacing w:after="60" w:before="60" w:lineRule="auto"/>
            <w:ind w:left="165" w:right="-105" w:firstLine="0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Audit Report: S1</w:t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44">
          <w:pPr>
            <w:spacing w:after="60" w:before="60" w:lineRule="auto"/>
            <w:ind w:right="256"/>
            <w:jc w:val="right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Page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 of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spacing w:after="60" w:before="60" w:lineRule="auto"/>
            <w:ind w:right="150"/>
            <w:jc w:val="right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CONFIDENTIAL</w:t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720" w:hanging="720"/>
      </w:pPr>
      <w:rPr>
        <w:rFonts w:ascii="Times New Roman" w:cs="Times New Roman" w:eastAsia="Times New Roman" w:hAnsi="Times New Roman"/>
        <w:b w:val="1"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b w:val="0"/>
        <w:i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cs="Times New Roman" w:eastAsia="Times New Roman" w:hAnsi="Times New Roman"/>
        <w:b w:val="0"/>
        <w:i w:val="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3888" w:hanging="1008"/>
      </w:pPr>
      <w:rPr>
        <w:rFonts w:ascii="Times New Roman" w:cs="Times New Roman" w:eastAsia="Times New Roman" w:hAnsi="Times New Roman"/>
        <w:b w:val="0"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4320" w:hanging="720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before="120" w:line="240" w:lineRule="auto"/>
      <w:ind w:left="720" w:hanging="720"/>
    </w:pPr>
    <w:rPr>
      <w:rFonts w:ascii="Times New Roman" w:cs="Times New Roman" w:eastAsia="Times New Roman" w:hAnsi="Times New Roman"/>
      <w:b w:val="1"/>
    </w:rPr>
  </w:style>
  <w:style w:type="paragraph" w:styleId="Heading2">
    <w:name w:val="heading 2"/>
    <w:basedOn w:val="Normal"/>
    <w:next w:val="Normal"/>
    <w:pPr>
      <w:keepNext w:val="1"/>
      <w:spacing w:after="0" w:before="120" w:line="240" w:lineRule="auto"/>
      <w:ind w:left="1440" w:hanging="720"/>
    </w:pPr>
    <w:rPr>
      <w:rFonts w:ascii="Times New Roman" w:cs="Times New Roman" w:eastAsia="Times New Roman" w:hAnsi="Times New Roman"/>
    </w:rPr>
  </w:style>
  <w:style w:type="paragraph" w:styleId="Heading3">
    <w:name w:val="heading 3"/>
    <w:basedOn w:val="Normal"/>
    <w:next w:val="Normal"/>
    <w:pPr>
      <w:keepNext w:val="1"/>
      <w:spacing w:after="0" w:before="120" w:line="240" w:lineRule="auto"/>
      <w:ind w:left="2160" w:hanging="720"/>
    </w:pPr>
    <w:rPr>
      <w:rFonts w:ascii="Times New Roman" w:cs="Times New Roman" w:eastAsia="Times New Roman" w:hAnsi="Times New Roman"/>
    </w:rPr>
  </w:style>
  <w:style w:type="paragraph" w:styleId="Heading4">
    <w:name w:val="heading 4"/>
    <w:basedOn w:val="Normal"/>
    <w:next w:val="Normal"/>
    <w:pPr>
      <w:keepNext w:val="1"/>
      <w:spacing w:after="0" w:before="120" w:line="240" w:lineRule="auto"/>
      <w:ind w:left="2880" w:hanging="720"/>
    </w:pPr>
    <w:rPr>
      <w:rFonts w:ascii="Times New Roman" w:cs="Times New Roman" w:eastAsia="Times New Roman" w:hAnsi="Times New Roman"/>
    </w:rPr>
  </w:style>
  <w:style w:type="paragraph" w:styleId="Heading5">
    <w:name w:val="heading 5"/>
    <w:basedOn w:val="Normal"/>
    <w:next w:val="Normal"/>
    <w:pPr>
      <w:spacing w:after="0" w:before="120" w:line="240" w:lineRule="auto"/>
      <w:ind w:left="3888" w:hanging="1008.0000000000001"/>
    </w:pPr>
    <w:rPr>
      <w:rFonts w:ascii="Times New Roman" w:cs="Times New Roman" w:eastAsia="Times New Roman" w:hAnsi="Times New Roman"/>
    </w:rPr>
  </w:style>
  <w:style w:type="paragraph" w:styleId="Heading6">
    <w:name w:val="heading 6"/>
    <w:basedOn w:val="Normal"/>
    <w:next w:val="Normal"/>
    <w:pPr>
      <w:spacing w:after="0" w:before="120" w:line="240" w:lineRule="auto"/>
      <w:ind w:left="4320" w:hanging="720"/>
    </w:pPr>
    <w:rPr>
      <w:rFonts w:ascii="Times New Roman" w:cs="Times New Roman" w:eastAsia="Times New Roman" w:hAnsi="Times New Roman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qFormat w:val="1"/>
    <w:rsid w:val="00885558"/>
    <w:pPr>
      <w:keepNext w:val="1"/>
      <w:numPr>
        <w:numId w:val="1"/>
      </w:numPr>
      <w:spacing w:after="0" w:before="120" w:line="240" w:lineRule="auto"/>
      <w:outlineLvl w:val="0"/>
    </w:pPr>
    <w:rPr>
      <w:rFonts w:ascii="Times New Roman" w:cs="Times New Roman" w:eastAsia="Times New Roman" w:hAnsi="Times New Roman"/>
      <w:b w:val="1"/>
      <w:szCs w:val="20"/>
      <w:lang w:bidi="he-IL" w:val="en-GB"/>
    </w:rPr>
  </w:style>
  <w:style w:type="paragraph" w:styleId="Heading2">
    <w:name w:val="heading 2"/>
    <w:basedOn w:val="Normal"/>
    <w:link w:val="Heading2Char"/>
    <w:qFormat w:val="1"/>
    <w:rsid w:val="00885558"/>
    <w:pPr>
      <w:keepNext w:val="1"/>
      <w:numPr>
        <w:ilvl w:val="1"/>
        <w:numId w:val="1"/>
      </w:numPr>
      <w:spacing w:after="0" w:before="120" w:line="240" w:lineRule="auto"/>
      <w:outlineLvl w:val="1"/>
    </w:pPr>
    <w:rPr>
      <w:rFonts w:ascii="Times New Roman" w:cs="Times New Roman" w:eastAsia="Times New Roman" w:hAnsi="Times New Roman"/>
      <w:lang w:bidi="he-IL" w:val="en-GB"/>
    </w:rPr>
  </w:style>
  <w:style w:type="paragraph" w:styleId="Heading3">
    <w:name w:val="heading 3"/>
    <w:basedOn w:val="Normal"/>
    <w:link w:val="Heading3Char"/>
    <w:qFormat w:val="1"/>
    <w:rsid w:val="00885558"/>
    <w:pPr>
      <w:keepNext w:val="1"/>
      <w:numPr>
        <w:ilvl w:val="2"/>
        <w:numId w:val="1"/>
      </w:numPr>
      <w:spacing w:after="0" w:before="120" w:line="240" w:lineRule="auto"/>
      <w:outlineLvl w:val="2"/>
    </w:pPr>
    <w:rPr>
      <w:rFonts w:ascii="Times New Roman" w:cs="Times New Roman" w:eastAsia="Times New Roman" w:hAnsi="Times New Roman"/>
      <w:szCs w:val="20"/>
      <w:lang w:bidi="he-IL" w:val="en-GB"/>
    </w:rPr>
  </w:style>
  <w:style w:type="paragraph" w:styleId="Heading4">
    <w:name w:val="heading 4"/>
    <w:basedOn w:val="Normal"/>
    <w:link w:val="Heading4Char"/>
    <w:qFormat w:val="1"/>
    <w:rsid w:val="00885558"/>
    <w:pPr>
      <w:keepNext w:val="1"/>
      <w:numPr>
        <w:ilvl w:val="3"/>
        <w:numId w:val="1"/>
      </w:numPr>
      <w:spacing w:after="0" w:before="120" w:line="240" w:lineRule="auto"/>
      <w:outlineLvl w:val="3"/>
    </w:pPr>
    <w:rPr>
      <w:rFonts w:ascii="Times New Roman" w:cs="Times New Roman" w:eastAsia="Times New Roman" w:hAnsi="Times New Roman"/>
      <w:bCs w:val="1"/>
      <w:szCs w:val="28"/>
      <w:lang w:bidi="he-IL" w:val="en-GB"/>
    </w:rPr>
  </w:style>
  <w:style w:type="paragraph" w:styleId="Heading5">
    <w:name w:val="heading 5"/>
    <w:basedOn w:val="Normal"/>
    <w:link w:val="Heading5Char"/>
    <w:qFormat w:val="1"/>
    <w:rsid w:val="00885558"/>
    <w:pPr>
      <w:numPr>
        <w:ilvl w:val="4"/>
        <w:numId w:val="1"/>
      </w:numPr>
      <w:spacing w:after="0" w:before="120" w:line="240" w:lineRule="auto"/>
      <w:outlineLvl w:val="4"/>
    </w:pPr>
    <w:rPr>
      <w:rFonts w:ascii="Times New Roman" w:cs="Times New Roman" w:eastAsia="Times New Roman" w:hAnsi="Times New Roman"/>
      <w:bCs w:val="1"/>
      <w:iCs w:val="1"/>
      <w:szCs w:val="26"/>
      <w:lang w:bidi="he-IL" w:val="en-GB"/>
    </w:rPr>
  </w:style>
  <w:style w:type="paragraph" w:styleId="Heading6">
    <w:name w:val="heading 6"/>
    <w:basedOn w:val="Normal"/>
    <w:link w:val="Heading6Char"/>
    <w:qFormat w:val="1"/>
    <w:rsid w:val="00885558"/>
    <w:pPr>
      <w:numPr>
        <w:ilvl w:val="5"/>
        <w:numId w:val="1"/>
      </w:numPr>
      <w:spacing w:after="0" w:before="120" w:line="240" w:lineRule="auto"/>
      <w:outlineLvl w:val="5"/>
    </w:pPr>
    <w:rPr>
      <w:rFonts w:ascii="Times New Roman" w:cs="Times New Roman" w:eastAsia="Times New Roman" w:hAnsi="Times New Roman"/>
      <w:bCs w:val="1"/>
      <w:lang w:bidi="he-IL" w:val="en-GB"/>
    </w:rPr>
  </w:style>
  <w:style w:type="paragraph" w:styleId="Heading7">
    <w:name w:val="heading 7"/>
    <w:basedOn w:val="Normal"/>
    <w:next w:val="Normal"/>
    <w:link w:val="Heading7Char"/>
    <w:qFormat w:val="1"/>
    <w:rsid w:val="00885558"/>
    <w:pPr>
      <w:numPr>
        <w:ilvl w:val="6"/>
        <w:numId w:val="1"/>
      </w:numPr>
      <w:spacing w:after="60" w:before="240" w:line="240" w:lineRule="auto"/>
      <w:outlineLvl w:val="6"/>
    </w:pPr>
    <w:rPr>
      <w:rFonts w:ascii="Times New Roman" w:cs="Times New Roman" w:eastAsia="Times New Roman" w:hAnsi="Times New Roman"/>
      <w:sz w:val="24"/>
      <w:szCs w:val="24"/>
      <w:lang w:bidi="he-IL" w:val="en-GB"/>
    </w:rPr>
  </w:style>
  <w:style w:type="paragraph" w:styleId="Heading8">
    <w:name w:val="heading 8"/>
    <w:basedOn w:val="Normal"/>
    <w:next w:val="Normal"/>
    <w:link w:val="Heading8Char"/>
    <w:qFormat w:val="1"/>
    <w:rsid w:val="00885558"/>
    <w:pPr>
      <w:numPr>
        <w:ilvl w:val="7"/>
        <w:numId w:val="1"/>
      </w:numPr>
      <w:spacing w:after="60" w:before="240" w:line="240" w:lineRule="auto"/>
      <w:outlineLvl w:val="7"/>
    </w:pPr>
    <w:rPr>
      <w:rFonts w:ascii="Times New Roman" w:cs="Times New Roman" w:eastAsia="Times New Roman" w:hAnsi="Times New Roman"/>
      <w:i w:val="1"/>
      <w:iCs w:val="1"/>
      <w:sz w:val="24"/>
      <w:szCs w:val="24"/>
      <w:lang w:bidi="he-IL" w:val="en-GB"/>
    </w:rPr>
  </w:style>
  <w:style w:type="paragraph" w:styleId="Heading9">
    <w:name w:val="heading 9"/>
    <w:basedOn w:val="Normal"/>
    <w:next w:val="Normal"/>
    <w:link w:val="Heading9Char"/>
    <w:qFormat w:val="1"/>
    <w:rsid w:val="00885558"/>
    <w:pPr>
      <w:numPr>
        <w:ilvl w:val="8"/>
        <w:numId w:val="1"/>
      </w:numPr>
      <w:spacing w:after="60" w:before="240" w:line="240" w:lineRule="auto"/>
      <w:outlineLvl w:val="8"/>
    </w:pPr>
    <w:rPr>
      <w:rFonts w:ascii="Arial" w:cs="Arial" w:eastAsia="Times New Roman" w:hAnsi="Arial"/>
      <w:lang w:bidi="he-IL"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A5438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54385"/>
  </w:style>
  <w:style w:type="paragraph" w:styleId="Footer">
    <w:name w:val="footer"/>
    <w:basedOn w:val="Normal"/>
    <w:link w:val="FooterChar"/>
    <w:uiPriority w:val="99"/>
    <w:unhideWhenUsed w:val="1"/>
    <w:rsid w:val="00A5438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54385"/>
  </w:style>
  <w:style w:type="character" w:styleId="Heading1Char" w:customStyle="1">
    <w:name w:val="Heading 1 Char"/>
    <w:basedOn w:val="DefaultParagraphFont"/>
    <w:link w:val="Heading1"/>
    <w:rsid w:val="00885558"/>
    <w:rPr>
      <w:rFonts w:ascii="Times New Roman" w:cs="Times New Roman" w:eastAsia="Times New Roman" w:hAnsi="Times New Roman"/>
      <w:b w:val="1"/>
      <w:szCs w:val="20"/>
      <w:lang w:bidi="he-IL" w:val="en-GB"/>
    </w:rPr>
  </w:style>
  <w:style w:type="character" w:styleId="Heading2Char" w:customStyle="1">
    <w:name w:val="Heading 2 Char"/>
    <w:basedOn w:val="DefaultParagraphFont"/>
    <w:link w:val="Heading2"/>
    <w:rsid w:val="00885558"/>
    <w:rPr>
      <w:rFonts w:ascii="Times New Roman" w:cs="Times New Roman" w:eastAsia="Times New Roman" w:hAnsi="Times New Roman"/>
      <w:lang w:bidi="he-IL" w:val="en-GB"/>
    </w:rPr>
  </w:style>
  <w:style w:type="character" w:styleId="Heading3Char" w:customStyle="1">
    <w:name w:val="Heading 3 Char"/>
    <w:basedOn w:val="DefaultParagraphFont"/>
    <w:link w:val="Heading3"/>
    <w:rsid w:val="00885558"/>
    <w:rPr>
      <w:rFonts w:ascii="Times New Roman" w:cs="Times New Roman" w:eastAsia="Times New Roman" w:hAnsi="Times New Roman"/>
      <w:szCs w:val="20"/>
      <w:lang w:bidi="he-IL" w:val="en-GB"/>
    </w:rPr>
  </w:style>
  <w:style w:type="character" w:styleId="Heading4Char" w:customStyle="1">
    <w:name w:val="Heading 4 Char"/>
    <w:basedOn w:val="DefaultParagraphFont"/>
    <w:link w:val="Heading4"/>
    <w:rsid w:val="00885558"/>
    <w:rPr>
      <w:rFonts w:ascii="Times New Roman" w:cs="Times New Roman" w:eastAsia="Times New Roman" w:hAnsi="Times New Roman"/>
      <w:bCs w:val="1"/>
      <w:szCs w:val="28"/>
      <w:lang w:bidi="he-IL" w:val="en-GB"/>
    </w:rPr>
  </w:style>
  <w:style w:type="character" w:styleId="Heading5Char" w:customStyle="1">
    <w:name w:val="Heading 5 Char"/>
    <w:basedOn w:val="DefaultParagraphFont"/>
    <w:link w:val="Heading5"/>
    <w:rsid w:val="00885558"/>
    <w:rPr>
      <w:rFonts w:ascii="Times New Roman" w:cs="Times New Roman" w:eastAsia="Times New Roman" w:hAnsi="Times New Roman"/>
      <w:bCs w:val="1"/>
      <w:iCs w:val="1"/>
      <w:szCs w:val="26"/>
      <w:lang w:bidi="he-IL" w:val="en-GB"/>
    </w:rPr>
  </w:style>
  <w:style w:type="character" w:styleId="Heading6Char" w:customStyle="1">
    <w:name w:val="Heading 6 Char"/>
    <w:basedOn w:val="DefaultParagraphFont"/>
    <w:link w:val="Heading6"/>
    <w:rsid w:val="00885558"/>
    <w:rPr>
      <w:rFonts w:ascii="Times New Roman" w:cs="Times New Roman" w:eastAsia="Times New Roman" w:hAnsi="Times New Roman"/>
      <w:bCs w:val="1"/>
      <w:lang w:bidi="he-IL" w:val="en-GB"/>
    </w:rPr>
  </w:style>
  <w:style w:type="character" w:styleId="Heading7Char" w:customStyle="1">
    <w:name w:val="Heading 7 Char"/>
    <w:basedOn w:val="DefaultParagraphFont"/>
    <w:link w:val="Heading7"/>
    <w:rsid w:val="00885558"/>
    <w:rPr>
      <w:rFonts w:ascii="Times New Roman" w:cs="Times New Roman" w:eastAsia="Times New Roman" w:hAnsi="Times New Roman"/>
      <w:sz w:val="24"/>
      <w:szCs w:val="24"/>
      <w:lang w:bidi="he-IL" w:val="en-GB"/>
    </w:rPr>
  </w:style>
  <w:style w:type="character" w:styleId="Heading8Char" w:customStyle="1">
    <w:name w:val="Heading 8 Char"/>
    <w:basedOn w:val="DefaultParagraphFont"/>
    <w:link w:val="Heading8"/>
    <w:rsid w:val="00885558"/>
    <w:rPr>
      <w:rFonts w:ascii="Times New Roman" w:cs="Times New Roman" w:eastAsia="Times New Roman" w:hAnsi="Times New Roman"/>
      <w:i w:val="1"/>
      <w:iCs w:val="1"/>
      <w:sz w:val="24"/>
      <w:szCs w:val="24"/>
      <w:lang w:bidi="he-IL" w:val="en-GB"/>
    </w:rPr>
  </w:style>
  <w:style w:type="character" w:styleId="Heading9Char" w:customStyle="1">
    <w:name w:val="Heading 9 Char"/>
    <w:basedOn w:val="DefaultParagraphFont"/>
    <w:link w:val="Heading9"/>
    <w:rsid w:val="00885558"/>
    <w:rPr>
      <w:rFonts w:ascii="Arial" w:cs="Arial" w:eastAsia="Times New Roman" w:hAnsi="Arial"/>
      <w:lang w:bidi="he-IL" w:val="en-GB"/>
    </w:rPr>
  </w:style>
  <w:style w:type="table" w:styleId="TableGrid1" w:customStyle="1">
    <w:name w:val="Table Grid1"/>
    <w:basedOn w:val="TableNormal"/>
    <w:next w:val="TableGrid"/>
    <w:uiPriority w:val="59"/>
    <w:rsid w:val="00E159DE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TableGrid">
    <w:name w:val="Table Grid"/>
    <w:basedOn w:val="TableNormal"/>
    <w:uiPriority w:val="39"/>
    <w:rsid w:val="00E159D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NAhZyeEJMWAKrueiB3HWhsoMaQ==">CgMxLjAyDmgubWJjYndjcHpjbHAyMg5oLndjd3R0aHB0dGdnZDIOaC5qazAyZHRyenl5YzEyDmguYXQ5ZjJrbWcxaTc3Mg5oLnB2MW9jeWs3YW1vMDIOaC5uZmx4bHdwczFsdGUyDmguN250eWl3NDl3eGl2OAByITFKZk5rampueE5Qb2lvVS1kUldQOWZTU2g3OXNZVGJkbg==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2025-04-16T19:52:00Z</dcterms:created>
  <dc:creator>Santosh Suggu</dc:creator>
</cp:coreProperties>
</file>