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F996D">
      <w:pPr>
        <w:pStyle w:val="3"/>
        <w:rPr>
          <w:color w:val="FF0000"/>
        </w:rPr>
      </w:pPr>
      <w:bookmarkStart w:id="0" w:name="_Toc464580019"/>
      <w:bookmarkStart w:id="1" w:name="_Toc229389884"/>
      <w:bookmarkStart w:id="2" w:name="_Toc191278876"/>
      <w:bookmarkStart w:id="3" w:name="_Toc193249647"/>
      <w:bookmarkStart w:id="4" w:name="_Toc286834757"/>
      <w:r>
        <w:rPr>
          <w:rFonts w:hint="eastAsia"/>
          <w:color w:val="FF0000"/>
        </w:rPr>
        <w:t>请填写标红的信息</w:t>
      </w:r>
    </w:p>
    <w:p w14:paraId="2F0DC556">
      <w:pPr>
        <w:ind w:left="578" w:hanging="578" w:hangingChars="241"/>
      </w:pPr>
    </w:p>
    <w:p w14:paraId="3E584CCF">
      <w:pPr>
        <w:pStyle w:val="6"/>
        <w:ind w:left="726" w:hanging="726" w:hangingChars="241"/>
      </w:pPr>
      <w:r>
        <w:rPr>
          <w:rFonts w:hint="eastAsia"/>
        </w:rPr>
        <w:t>软测需提供材料</w:t>
      </w:r>
    </w:p>
    <w:p w14:paraId="5C876F7F">
      <w:pPr>
        <w:pStyle w:val="4"/>
        <w:ind w:left="420" w:firstLine="0" w:firstLineChars="0"/>
      </w:pPr>
      <w:r>
        <w:rPr>
          <w:rFonts w:hint="eastAsia" w:ascii="MS Gothic" w:hAnsi="MS Gothic" w:eastAsia="MS Gothic"/>
        </w:rPr>
        <w:t>☐</w:t>
      </w:r>
      <w:r>
        <w:rPr>
          <w:rFonts w:hint="eastAsia"/>
        </w:rPr>
        <w:t xml:space="preserve">  《测试委托申请表》电子版；</w:t>
      </w:r>
    </w:p>
    <w:p w14:paraId="52CD5438">
      <w:pPr>
        <w:pStyle w:val="4"/>
        <w:ind w:left="1140" w:leftChars="175" w:hanging="720" w:hangingChars="300"/>
      </w:pPr>
      <w:r>
        <w:rPr>
          <w:rFonts w:hint="eastAsia" w:ascii="MS Gothic" w:hAnsi="MS Gothic" w:eastAsia="MS Gothic"/>
        </w:rPr>
        <w:t>☐</w:t>
      </w:r>
      <w:r>
        <w:rPr>
          <w:rFonts w:hint="eastAsia"/>
        </w:rPr>
        <w:t xml:space="preserve">  《测试委托申请表》</w:t>
      </w:r>
      <w:r>
        <w:rPr>
          <w:rFonts w:hint="eastAsia"/>
          <w:u w:val="single"/>
        </w:rPr>
        <w:t>纸质版盖章</w:t>
      </w:r>
      <w:r>
        <w:rPr>
          <w:rFonts w:hint="eastAsia"/>
          <w:b/>
          <w:u w:val="single"/>
        </w:rPr>
        <w:t>（报告出具的项目名称和申请单位，以测试委托申请表为准，请核对无误）</w:t>
      </w:r>
      <w:r>
        <w:rPr>
          <w:rFonts w:hint="eastAsia"/>
          <w:u w:val="single"/>
        </w:rPr>
        <w:t>；</w:t>
      </w:r>
      <w:r>
        <w:rPr>
          <w:rFonts w:hint="eastAsia"/>
          <w:color w:val="C00000"/>
          <w:u w:val="single"/>
        </w:rPr>
        <w:t>（必须提供）</w:t>
      </w:r>
    </w:p>
    <w:p w14:paraId="2A24D691">
      <w:pPr>
        <w:pStyle w:val="4"/>
        <w:ind w:left="420" w:firstLine="0" w:firstLineChars="0"/>
      </w:pPr>
      <w:r>
        <w:rPr>
          <w:rFonts w:hint="eastAsia" w:ascii="MS Gothic" w:hAnsi="MS Gothic" w:eastAsia="MS Gothic"/>
        </w:rPr>
        <w:t>☐</w:t>
      </w:r>
      <w:r>
        <w:rPr>
          <w:rFonts w:hint="eastAsia" w:ascii="MS Gothic" w:hAnsi="MS Gothic"/>
        </w:rPr>
        <w:t xml:space="preserve">  </w:t>
      </w:r>
      <w:r>
        <w:rPr>
          <w:rFonts w:hint="eastAsia"/>
        </w:rPr>
        <w:t>《xx系统操作手册》/《xx系统用户使用手册》；</w:t>
      </w:r>
      <w:r>
        <w:rPr>
          <w:rFonts w:hint="eastAsia"/>
          <w:color w:val="C00000"/>
          <w:u w:val="single"/>
        </w:rPr>
        <w:t>（必须提供）</w:t>
      </w:r>
    </w:p>
    <w:p w14:paraId="62483391">
      <w:pPr>
        <w:pStyle w:val="4"/>
        <w:ind w:left="1140" w:leftChars="175" w:hanging="720" w:hangingChars="300"/>
      </w:pPr>
      <w:r>
        <w:rPr>
          <w:rFonts w:hint="eastAsia" w:ascii="MS Gothic" w:hAnsi="MS Gothic" w:eastAsia="MS Gothic"/>
        </w:rPr>
        <w:t>☐</w:t>
      </w:r>
      <w:r>
        <w:rPr>
          <w:rFonts w:hint="eastAsia" w:ascii="MS Gothic" w:hAnsi="MS Gothic"/>
        </w:rPr>
        <w:t xml:space="preserve">  </w:t>
      </w:r>
      <w:r>
        <w:rPr>
          <w:rFonts w:hint="eastAsia"/>
        </w:rPr>
        <w:t>《xx系统招标文件》/《xx系统投标文件》/《xx系统技术合同》/《xx系统任务书》（项目验收的依据文档）；</w:t>
      </w:r>
    </w:p>
    <w:p w14:paraId="06EF390A">
      <w:pPr>
        <w:pStyle w:val="4"/>
        <w:ind w:left="420" w:firstLine="0" w:firstLineChars="0"/>
      </w:pPr>
      <w:r>
        <w:rPr>
          <w:rFonts w:hint="eastAsia" w:ascii="MS Gothic" w:hAnsi="MS Gothic" w:eastAsia="MS Gothic"/>
        </w:rPr>
        <w:t>☐</w:t>
      </w:r>
      <w:r>
        <w:rPr>
          <w:rFonts w:hint="eastAsia" w:ascii="MS Gothic" w:hAnsi="MS Gothic"/>
        </w:rPr>
        <w:t xml:space="preserve">  </w:t>
      </w:r>
      <w:r>
        <w:rPr>
          <w:rFonts w:hint="eastAsia"/>
        </w:rPr>
        <w:t>《xx系统功能清单》（具体内容详见1.4）。</w:t>
      </w:r>
    </w:p>
    <w:p w14:paraId="226BF5AC">
      <w:pPr>
        <w:spacing w:line="360" w:lineRule="auto"/>
        <w:ind w:left="120" w:leftChars="50" w:right="120" w:rightChars="50" w:firstLine="480" w:firstLineChars="200"/>
      </w:pPr>
    </w:p>
    <w:p w14:paraId="22BC9470">
      <w:pPr>
        <w:pStyle w:val="6"/>
        <w:ind w:left="726" w:hanging="726" w:hangingChars="241"/>
      </w:pPr>
      <w:r>
        <w:rPr>
          <w:rFonts w:hint="eastAsia"/>
        </w:rPr>
        <w:t>测试环境</w:t>
      </w:r>
      <w:bookmarkEnd w:id="0"/>
    </w:p>
    <w:p w14:paraId="37975512">
      <w:pPr>
        <w:spacing w:line="360" w:lineRule="auto"/>
        <w:ind w:left="120" w:leftChars="50" w:right="120" w:rightChars="50" w:firstLine="480" w:firstLineChars="200"/>
        <w:rPr>
          <w:rFonts w:ascii="宋体" w:hAnsi="宋体"/>
        </w:rPr>
      </w:pPr>
    </w:p>
    <w:bookmarkEnd w:id="1"/>
    <w:bookmarkEnd w:id="2"/>
    <w:bookmarkEnd w:id="3"/>
    <w:bookmarkEnd w:id="4"/>
    <w:p w14:paraId="43A758D9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系统采用 B/S 架构并结合后台模型推理服务部署。测试环境由一台主测试服务器、一台测试客户端、数据库服务、图谱服务、缓存队列和视频文件存储组成，所有服务通过局域网互联。主测试服务器负责部署视频分析算法、模型推理服务、数据库、图谱服务和 Web 后端服务；测试客户端负责访问系统 Web 界面、执行功能测试、查看图谱和证据链展示结果。</w:t>
      </w:r>
    </w:p>
    <w:p w14:paraId="06085759">
      <w:pPr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pict>
          <v:shape id="_x0000_i1025" o:spt="75" type="#_x0000_t75" style="height:217.2pt;width:399.6pt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  <w10:wrap type="none"/>
            <w10:anchorlock/>
          </v:shape>
        </w:pict>
      </w:r>
    </w:p>
    <w:p w14:paraId="090BB4FF">
      <w:pPr>
        <w:jc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图 </w:t>
      </w:r>
      <w:r>
        <w:rPr>
          <w:rFonts w:hint="eastAsia" w:ascii="宋体" w:hAnsi="宋体"/>
          <w:color w:val="000000"/>
        </w:rPr>
        <w:t>1</w:t>
      </w:r>
      <w:r>
        <w:rPr>
          <w:rFonts w:ascii="宋体" w:hAnsi="宋体"/>
          <w:color w:val="000000"/>
        </w:rPr>
        <w:t xml:space="preserve"> 测试环境网络拓扑图</w:t>
      </w:r>
    </w:p>
    <w:p w14:paraId="212B4EF0">
      <w:pPr>
        <w:rPr>
          <w:rFonts w:ascii="宋体" w:hAnsi="宋体"/>
          <w:color w:val="FF0000"/>
        </w:rPr>
      </w:pPr>
    </w:p>
    <w:p w14:paraId="15801ECA">
      <w:pPr>
        <w:pStyle w:val="6"/>
        <w:ind w:left="726" w:hanging="726" w:hangingChars="241"/>
      </w:pPr>
      <w:r>
        <w:rPr>
          <w:rFonts w:hint="eastAsia"/>
        </w:rPr>
        <w:t>系统介绍</w:t>
      </w:r>
      <w:r>
        <w:rPr>
          <w:rFonts w:hint="eastAsia"/>
          <w:color w:val="FF0000"/>
        </w:rPr>
        <w:t>（主要介绍系统实现的功能）</w:t>
      </w:r>
    </w:p>
    <w:p w14:paraId="6F29D770">
      <w:pPr>
        <w:pStyle w:val="4"/>
        <w:ind w:firstLine="240"/>
        <w:rPr>
          <w:rFonts w:hint="eastAsia"/>
          <w:color w:val="000000"/>
        </w:rPr>
      </w:pPr>
      <w:r>
        <w:rPr>
          <w:rFonts w:hint="eastAsia"/>
          <w:color w:val="000000"/>
        </w:rPr>
        <w:t>在船舶轨迹和事件分析领域，系统实现了船舶航迹预测（GRU/RNN/LSTM/DSTPP 4种模型）、世界推文事件空间聚类与文本深度分析、知识图谱与因果链可视化等功能，提供了多维度（时间/空间/目标/标签/分类/关联/事件）的信息关联展现与可解释性分析服务。在视频领域，支持社交媒体视频、路网监控视频、卫星遥感视频等异构数据接入，能够完成视频自动标注、目标检测分割、跨视频目标关联、长时序事件结构化建模、流式态势推理、证据链追溯和交互式研判报告生成。系统输出结果同时包含结构化结论和可解释依据，便于测试人员、分析人员和验收单位进行复核。在金融领域，系统实现了金融舆情数据全生命周期管理、金融事件智能检测与要素抽取、黑嘴言论自动识别分类、监管问询函自动生成、年报自动生成及可视化数据大屏等功能，为金融监管机构提供了智能化、自动化的舆情监测与分析决策支持服务。在中医辅助诊疗领域，实现了症状到中药推荐的可解释分析功能，提供了基于图神经网络与大语言模型的多层级决策解释性功能。</w:t>
      </w:r>
    </w:p>
    <w:p w14:paraId="70EE51B1">
      <w:pPr>
        <w:pStyle w:val="4"/>
        <w:ind w:left="0" w:leftChars="0" w:firstLine="0" w:firstLineChars="0"/>
      </w:pPr>
    </w:p>
    <w:p w14:paraId="01C0E4D2">
      <w:pPr>
        <w:pStyle w:val="6"/>
        <w:ind w:left="726" w:hanging="726" w:hangingChars="241"/>
      </w:pPr>
      <w:r>
        <w:rPr>
          <w:rFonts w:hint="eastAsia"/>
        </w:rPr>
        <w:t>功能对照表</w:t>
      </w:r>
    </w:p>
    <w:p w14:paraId="06EBBE93">
      <w:pPr>
        <w:pStyle w:val="4"/>
        <w:ind w:firstLine="240"/>
        <w:rPr>
          <w:color w:val="FF0000"/>
        </w:rPr>
      </w:pPr>
      <w:r>
        <w:rPr>
          <w:rFonts w:hint="eastAsia"/>
        </w:rPr>
        <w:t>本次测试的功能测试依据为：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测试大纲</w:t>
      </w:r>
      <w:r>
        <w:rPr>
          <w:rFonts w:hint="eastAsia"/>
          <w:lang w:eastAsia="zh-CN"/>
        </w:rPr>
        <w:t>》。</w:t>
      </w:r>
      <w:r>
        <w:rPr>
          <w:rFonts w:hint="eastAsia"/>
        </w:rPr>
        <w:t>由此测试依据文件归纳整理的功能对照表如下（按技术指标逐项对应各子系统实际功能）：</w:t>
      </w:r>
    </w:p>
    <w:p w14:paraId="1CFABAD0">
      <w:pPr>
        <w:pStyle w:val="4"/>
        <w:ind w:firstLine="240"/>
      </w:pPr>
    </w:p>
    <w:tbl>
      <w:tblPr>
        <w:tblStyle w:val="1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4841"/>
        <w:gridCol w:w="1387"/>
      </w:tblGrid>
      <w:tr w14:paraId="37EC8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6CB16F8B">
            <w:pPr>
              <w:jc w:val="center"/>
            </w:pPr>
            <w:r>
              <w:rPr>
                <w:b/>
                <w:sz w:val="18"/>
              </w:rPr>
              <w:t>计划任务书中/需求文档/招标文档中的功能</w:t>
            </w:r>
          </w:p>
        </w:tc>
        <w:tc>
          <w:tcPr>
            <w:tcW w:w="4841" w:type="dxa"/>
          </w:tcPr>
          <w:p w14:paraId="5BE6E0E6">
            <w:pPr>
              <w:jc w:val="center"/>
            </w:pPr>
            <w:r>
              <w:rPr>
                <w:b/>
                <w:sz w:val="18"/>
              </w:rPr>
              <w:t>实际应用功能</w:t>
            </w:r>
          </w:p>
        </w:tc>
        <w:tc>
          <w:tcPr>
            <w:tcW w:w="1387" w:type="dxa"/>
          </w:tcPr>
          <w:p w14:paraId="3CEB52A5">
            <w:pPr>
              <w:jc w:val="center"/>
            </w:pPr>
            <w:r>
              <w:rPr>
                <w:b/>
                <w:sz w:val="18"/>
              </w:rPr>
              <w:t>结论</w:t>
            </w:r>
          </w:p>
        </w:tc>
      </w:tr>
      <w:tr w14:paraId="6E1E7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2D9807C6">
            <w:r>
              <w:rPr>
                <w:sz w:val="18"/>
              </w:rPr>
              <w:t>指标1-①：注意力机制可解释性深度学习模型</w:t>
            </w:r>
          </w:p>
        </w:tc>
        <w:tc>
          <w:tcPr>
            <w:tcW w:w="4841" w:type="dxa"/>
          </w:tcPr>
          <w:p w14:paraId="01EDA584">
            <w:r>
              <w:rPr>
                <w:sz w:val="18"/>
              </w:rPr>
              <w:t>医疗事件可解释性模块：</w:t>
            </w:r>
            <w:r>
              <w:rPr>
                <w:rFonts w:hint="eastAsia"/>
                <w:sz w:val="18"/>
              </w:rPr>
              <w:t>基于图注意力机制</w:t>
            </w:r>
            <w:r>
              <w:rPr>
                <w:rFonts w:hint="eastAsia"/>
                <w:sz w:val="18"/>
                <w:lang w:val="en-US" w:eastAsia="zh-CN"/>
              </w:rPr>
              <w:t>的</w:t>
            </w:r>
            <w:r>
              <w:rPr>
                <w:rFonts w:hint="eastAsia"/>
                <w:sz w:val="18"/>
              </w:rPr>
              <w:t>中药生成差异化隐式证候表示</w:t>
            </w:r>
          </w:p>
        </w:tc>
        <w:tc>
          <w:tcPr>
            <w:tcW w:w="1387" w:type="dxa"/>
          </w:tcPr>
          <w:p w14:paraId="0602853B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6798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726BB76">
            <w:r>
              <w:rPr>
                <w:sz w:val="18"/>
              </w:rPr>
              <w:t>指标1-①：元路径可解释性深度学习模型</w:t>
            </w:r>
          </w:p>
        </w:tc>
        <w:tc>
          <w:tcPr>
            <w:tcW w:w="4841" w:type="dxa"/>
          </w:tcPr>
          <w:p w14:paraId="3CB4DC8E">
            <w:r>
              <w:rPr>
                <w:sz w:val="18"/>
              </w:rPr>
              <w:t>医疗事件可解释性模块：基于元路径的中医辨证知识推理可解释性</w:t>
            </w:r>
          </w:p>
        </w:tc>
        <w:tc>
          <w:tcPr>
            <w:tcW w:w="1387" w:type="dxa"/>
          </w:tcPr>
          <w:p w14:paraId="5F7D320B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6C03E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F6A91F0">
            <w:r>
              <w:rPr>
                <w:sz w:val="18"/>
              </w:rPr>
              <w:t>指标1-①：图神经网络可解释性深度学习模型</w:t>
            </w:r>
          </w:p>
        </w:tc>
        <w:tc>
          <w:tcPr>
            <w:tcW w:w="4841" w:type="dxa"/>
          </w:tcPr>
          <w:p w14:paraId="34023EC0">
            <w:r>
              <w:rPr>
                <w:sz w:val="18"/>
              </w:rPr>
              <w:t>医疗事件可解释性模块：基于图神经网络的中医事件关联可解释性</w:t>
            </w:r>
          </w:p>
        </w:tc>
        <w:tc>
          <w:tcPr>
            <w:tcW w:w="1387" w:type="dxa"/>
          </w:tcPr>
          <w:p w14:paraId="2152854F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00051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3D078E31">
            <w:r>
              <w:rPr>
                <w:sz w:val="18"/>
              </w:rPr>
              <w:t>指标1-①：认知机制可解释性深度学习模型</w:t>
            </w:r>
          </w:p>
        </w:tc>
        <w:tc>
          <w:tcPr>
            <w:tcW w:w="4841" w:type="dxa"/>
          </w:tcPr>
          <w:p w14:paraId="5D6602A3">
            <w:r>
              <w:rPr>
                <w:sz w:val="18"/>
              </w:rPr>
              <w:t>医疗事件可解释性模块：</w:t>
            </w:r>
            <w:r>
              <w:rPr>
                <w:rFonts w:hint="eastAsia"/>
                <w:sz w:val="18"/>
              </w:rPr>
              <w:t>基于大模型生成</w:t>
            </w:r>
            <w:r>
              <w:rPr>
                <w:rFonts w:hint="eastAsia"/>
                <w:sz w:val="18"/>
                <w:lang w:val="en-US" w:eastAsia="zh-CN"/>
              </w:rPr>
              <w:t>认知推理</w:t>
            </w:r>
            <w:r>
              <w:rPr>
                <w:rFonts w:hint="eastAsia"/>
                <w:sz w:val="18"/>
              </w:rPr>
              <w:t>的中药推荐方法</w:t>
            </w:r>
          </w:p>
        </w:tc>
        <w:tc>
          <w:tcPr>
            <w:tcW w:w="1387" w:type="dxa"/>
          </w:tcPr>
          <w:p w14:paraId="736415C6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0C1D6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D99C083">
            <w:r>
              <w:rPr>
                <w:sz w:val="18"/>
              </w:rPr>
              <w:t>指标1：跨视频证据链可解释技术（跨时空关联模块）</w:t>
            </w:r>
          </w:p>
        </w:tc>
        <w:tc>
          <w:tcPr>
            <w:tcW w:w="4841" w:type="dxa"/>
          </w:tcPr>
          <w:p w14:paraId="75AB81C5">
            <w:r>
              <w:rPr>
                <w:rFonts w:hint="eastAsia"/>
                <w:sz w:val="18"/>
                <w:lang w:val="en-US" w:eastAsia="zh-CN"/>
              </w:rPr>
              <w:t>视频理解模块</w:t>
            </w:r>
            <w:r>
              <w:rPr>
                <w:sz w:val="18"/>
              </w:rPr>
              <w:t>：</w:t>
            </w:r>
            <w:r>
              <w:rPr>
                <w:rFonts w:hint="eastAsia"/>
                <w:sz w:val="18"/>
              </w:rPr>
              <w:t>基于SAM的</w:t>
            </w:r>
            <w:r>
              <w:rPr>
                <w:sz w:val="18"/>
              </w:rPr>
              <w:t>跨视角目标对应与分割方法</w:t>
            </w:r>
          </w:p>
        </w:tc>
        <w:tc>
          <w:tcPr>
            <w:tcW w:w="1387" w:type="dxa"/>
          </w:tcPr>
          <w:p w14:paraId="5457FA92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4F671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C56A1F4">
            <w:r>
              <w:rPr>
                <w:sz w:val="18"/>
              </w:rPr>
              <w:t>指标1：长时序事件定位可解释技术（超长视频事件建模模块）</w:t>
            </w:r>
          </w:p>
        </w:tc>
        <w:tc>
          <w:tcPr>
            <w:tcW w:w="4841" w:type="dxa"/>
          </w:tcPr>
          <w:p w14:paraId="26EF4A0C">
            <w:r>
              <w:rPr>
                <w:rFonts w:hint="eastAsia"/>
                <w:sz w:val="18"/>
                <w:lang w:val="en-US" w:eastAsia="zh-CN"/>
              </w:rPr>
              <w:t>视频理解模块：</w:t>
            </w:r>
            <w:r>
              <w:rPr>
                <w:sz w:val="18"/>
              </w:rPr>
              <w:t>多层级实体感知</w:t>
            </w:r>
            <w:r>
              <w:rPr>
                <w:rFonts w:hint="eastAsia"/>
                <w:sz w:val="18"/>
              </w:rPr>
              <w:t>动态事件划分与</w:t>
            </w:r>
            <w:r>
              <w:rPr>
                <w:sz w:val="18"/>
              </w:rPr>
              <w:t>记忆方法</w:t>
            </w:r>
            <w:r>
              <w:rPr>
                <w:rFonts w:hint="eastAsia"/>
                <w:sz w:val="18"/>
              </w:rPr>
              <w:t>（MEMO）</w:t>
            </w:r>
          </w:p>
        </w:tc>
        <w:tc>
          <w:tcPr>
            <w:tcW w:w="1387" w:type="dxa"/>
          </w:tcPr>
          <w:p w14:paraId="3A9D5534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12D35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11B4C78F">
            <w:r>
              <w:rPr>
                <w:sz w:val="18"/>
              </w:rPr>
              <w:t>指标1：动态认知图复杂事件可视化可解释建模技术</w:t>
            </w:r>
          </w:p>
        </w:tc>
        <w:tc>
          <w:tcPr>
            <w:tcW w:w="4841" w:type="dxa"/>
          </w:tcPr>
          <w:p w14:paraId="59AAF44E">
            <w:r>
              <w:rPr>
                <w:rFonts w:hint="eastAsia"/>
                <w:sz w:val="18"/>
                <w:lang w:val="en-US" w:eastAsia="zh-CN"/>
              </w:rPr>
              <w:t>视频理解模块：基于动态认知图的LLM-VLM 协同视频推理方法,</w:t>
            </w:r>
          </w:p>
        </w:tc>
        <w:tc>
          <w:tcPr>
            <w:tcW w:w="1387" w:type="dxa"/>
          </w:tcPr>
          <w:p w14:paraId="1E83F496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81F2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386B390">
            <w:r>
              <w:rPr>
                <w:sz w:val="18"/>
              </w:rPr>
              <w:t>指标1：流式实时态势推理可解释研判输出技术</w:t>
            </w:r>
          </w:p>
        </w:tc>
        <w:tc>
          <w:tcPr>
            <w:tcW w:w="4841" w:type="dxa"/>
          </w:tcPr>
          <w:p w14:paraId="49A904E3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视频理解模块：面向真实流式场景的视频理解评测协议</w:t>
            </w:r>
          </w:p>
        </w:tc>
        <w:tc>
          <w:tcPr>
            <w:tcW w:w="1387" w:type="dxa"/>
          </w:tcPr>
          <w:p w14:paraId="28C9A11C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7720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77BD7CE">
            <w:r>
              <w:rPr>
                <w:sz w:val="18"/>
              </w:rPr>
              <w:t>指标1：支撑模型VLM/Yolo-World/SAM/V2SAM等</w:t>
            </w:r>
          </w:p>
        </w:tc>
        <w:tc>
          <w:tcPr>
            <w:tcW w:w="4841" w:type="dxa"/>
          </w:tcPr>
          <w:p w14:paraId="112A2C6D">
            <w:r>
              <w:rPr>
                <w:sz w:val="18"/>
              </w:rPr>
              <w:t>视频理解模块：多模态视频分析（调用VLM/SAM等模型），目标检测、分割与行为识别</w:t>
            </w:r>
          </w:p>
        </w:tc>
        <w:tc>
          <w:tcPr>
            <w:tcW w:w="1387" w:type="dxa"/>
          </w:tcPr>
          <w:p w14:paraId="19770663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528F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A585606">
            <w:r>
              <w:rPr>
                <w:sz w:val="18"/>
              </w:rPr>
              <w:t>指标2：小样本情报分析模型准确率≥80%（5类×15样本）</w:t>
            </w:r>
          </w:p>
        </w:tc>
        <w:tc>
          <w:tcPr>
            <w:tcW w:w="4841" w:type="dxa"/>
          </w:tcPr>
          <w:p w14:paraId="61436822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</w:rPr>
              <w:t>金融舆情模块：金融事件检测与分类（18类）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rFonts w:hint="eastAsia"/>
                <w:sz w:val="18"/>
                <w:lang w:val="en-US" w:eastAsia="zh-CN"/>
              </w:rPr>
              <w:t>医疗事件模块：医药症状分类</w:t>
            </w:r>
          </w:p>
        </w:tc>
        <w:tc>
          <w:tcPr>
            <w:tcW w:w="1387" w:type="dxa"/>
          </w:tcPr>
          <w:p w14:paraId="3BDAF9E4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16640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2FEFA4B9">
            <w:r>
              <w:rPr>
                <w:sz w:val="18"/>
              </w:rPr>
              <w:t>指标2：基于人机交互的事件抽取小样本训练</w:t>
            </w:r>
          </w:p>
        </w:tc>
        <w:tc>
          <w:tcPr>
            <w:tcW w:w="4841" w:type="dxa"/>
          </w:tcPr>
          <w:p w14:paraId="662E71DE">
            <w:r>
              <w:rPr>
                <w:sz w:val="18"/>
              </w:rPr>
              <w:t>金融舆情模块：黑嘴识别（3类），基于ChatGLM小样本微调</w:t>
            </w:r>
          </w:p>
        </w:tc>
        <w:tc>
          <w:tcPr>
            <w:tcW w:w="1387" w:type="dxa"/>
          </w:tcPr>
          <w:p w14:paraId="28020C14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CEDA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5A6AF366">
            <w:r>
              <w:rPr>
                <w:sz w:val="18"/>
              </w:rPr>
              <w:t>指标3：事件目标组织关联关系图生成&lt;1秒（≥100目标）</w:t>
            </w:r>
          </w:p>
        </w:tc>
        <w:tc>
          <w:tcPr>
            <w:tcW w:w="4841" w:type="dxa"/>
          </w:tcPr>
          <w:p w14:paraId="1AAB01C9">
            <w:r>
              <w:rPr>
                <w:sz w:val="18"/>
              </w:rPr>
              <w:t>事件分析模块：知识图谱D3力导向图渲染</w:t>
            </w:r>
            <w:r>
              <w:rPr>
                <w:rFonts w:hint="eastAsia"/>
                <w:sz w:val="18"/>
                <w:lang w:val="en-US" w:eastAsia="zh-CN"/>
              </w:rPr>
              <w:t>&lt;1000m</w:t>
            </w:r>
            <w:r>
              <w:rPr>
                <w:sz w:val="18"/>
              </w:rPr>
              <w:t>s，节点≥100</w:t>
            </w:r>
          </w:p>
        </w:tc>
        <w:tc>
          <w:tcPr>
            <w:tcW w:w="1387" w:type="dxa"/>
          </w:tcPr>
          <w:p w14:paraId="0E6EAACD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1534A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63818B8">
            <w:r>
              <w:rPr>
                <w:sz w:val="18"/>
              </w:rPr>
              <w:t>指标3：视频内容结构化图谱生成</w:t>
            </w:r>
          </w:p>
        </w:tc>
        <w:tc>
          <w:tcPr>
            <w:tcW w:w="4841" w:type="dxa"/>
          </w:tcPr>
          <w:p w14:paraId="7D5E996D">
            <w:r>
              <w:rPr>
                <w:sz w:val="18"/>
              </w:rPr>
              <w:t>视频理解模块：</w:t>
            </w:r>
            <w:r>
              <w:rPr>
                <w:rFonts w:hint="eastAsia"/>
                <w:sz w:val="18"/>
                <w:lang w:val="en-US" w:eastAsia="zh-CN"/>
              </w:rPr>
              <w:t>动态认知图</w:t>
            </w:r>
            <w:bookmarkStart w:id="16" w:name="_GoBack"/>
            <w:bookmarkEnd w:id="16"/>
            <w:r>
              <w:rPr>
                <w:sz w:val="18"/>
              </w:rPr>
              <w:t>生成与渲染&lt;1秒（100节点），支持PNG导出</w:t>
            </w:r>
          </w:p>
        </w:tc>
        <w:tc>
          <w:tcPr>
            <w:tcW w:w="1387" w:type="dxa"/>
          </w:tcPr>
          <w:p w14:paraId="13EA0FDE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B195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ABA3B0B">
            <w:r>
              <w:rPr>
                <w:sz w:val="18"/>
              </w:rPr>
              <w:t>指标4-①：目标属性研判</w:t>
            </w:r>
          </w:p>
        </w:tc>
        <w:tc>
          <w:tcPr>
            <w:tcW w:w="4841" w:type="dxa"/>
          </w:tcPr>
          <w:p w14:paraId="7A7C3037">
            <w:r>
              <w:rPr>
                <w:sz w:val="18"/>
              </w:rPr>
              <w:t>船舶航迹模块：轨迹属性展示（模型/编号/点数/时长/距离/RMSE），航迹点坐标详情</w:t>
            </w:r>
          </w:p>
        </w:tc>
        <w:tc>
          <w:tcPr>
            <w:tcW w:w="1387" w:type="dxa"/>
          </w:tcPr>
          <w:p w14:paraId="68881D1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782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1E53F563">
            <w:r>
              <w:rPr>
                <w:sz w:val="18"/>
              </w:rPr>
              <w:t>指标4-②：目标行为研判</w:t>
            </w:r>
          </w:p>
        </w:tc>
        <w:tc>
          <w:tcPr>
            <w:tcW w:w="4841" w:type="dxa"/>
          </w:tcPr>
          <w:p w14:paraId="3A2C4529">
            <w:r>
              <w:rPr>
                <w:sz w:val="18"/>
              </w:rPr>
              <w:t>船舶航迹模块：动画回放完整运动轨迹，意图分布条形图展示行为分类</w:t>
            </w:r>
          </w:p>
        </w:tc>
        <w:tc>
          <w:tcPr>
            <w:tcW w:w="1387" w:type="dxa"/>
          </w:tcPr>
          <w:p w14:paraId="5F471B43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3AB5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51A161B0">
            <w:r>
              <w:rPr>
                <w:sz w:val="18"/>
              </w:rPr>
              <w:t>指标4-③：目标意图识别研判</w:t>
            </w:r>
          </w:p>
        </w:tc>
        <w:tc>
          <w:tcPr>
            <w:tcW w:w="4841" w:type="dxa"/>
          </w:tcPr>
          <w:p w14:paraId="599098D7">
            <w:r>
              <w:rPr>
                <w:sz w:val="18"/>
              </w:rPr>
              <w:t>船舶航迹模块：主导意图判定+意图分布统计，</w:t>
            </w:r>
            <w:r>
              <w:rPr>
                <w:rFonts w:hint="eastAsia"/>
                <w:sz w:val="18"/>
                <w:lang w:val="en-US" w:eastAsia="zh-CN"/>
              </w:rPr>
              <w:t>4</w:t>
            </w:r>
            <w:r>
              <w:rPr>
                <w:sz w:val="18"/>
              </w:rPr>
              <w:t>类意图颜色区分</w:t>
            </w:r>
          </w:p>
        </w:tc>
        <w:tc>
          <w:tcPr>
            <w:tcW w:w="1387" w:type="dxa"/>
          </w:tcPr>
          <w:p w14:paraId="3C9226E0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4C1BA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2249D4D2">
            <w:r>
              <w:rPr>
                <w:sz w:val="18"/>
              </w:rPr>
              <w:t>指标4-④：事件阶段研判</w:t>
            </w:r>
          </w:p>
        </w:tc>
        <w:tc>
          <w:tcPr>
            <w:tcW w:w="4841" w:type="dxa"/>
          </w:tcPr>
          <w:p w14:paraId="4E878389">
            <w:r>
              <w:rPr>
                <w:sz w:val="18"/>
              </w:rPr>
              <w:t>事件分析模块：事件等级分类（特别重大/重大/较大/一般），突发标记，日期排序</w:t>
            </w:r>
          </w:p>
        </w:tc>
        <w:tc>
          <w:tcPr>
            <w:tcW w:w="1387" w:type="dxa"/>
          </w:tcPr>
          <w:p w14:paraId="342E9071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9C06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1A3FA954">
            <w:r>
              <w:rPr>
                <w:sz w:val="18"/>
              </w:rPr>
              <w:t>指标4-⑤：事件演化趋势预测研判</w:t>
            </w:r>
          </w:p>
        </w:tc>
        <w:tc>
          <w:tcPr>
            <w:tcW w:w="4841" w:type="dxa"/>
          </w:tcPr>
          <w:p w14:paraId="33268513">
            <w:r>
              <w:rPr>
                <w:sz w:val="18"/>
              </w:rPr>
              <w:t>事件分析模块：因果链（有向因果图），关键词重叠关联+时间邻近分析</w:t>
            </w:r>
          </w:p>
        </w:tc>
        <w:tc>
          <w:tcPr>
            <w:tcW w:w="1387" w:type="dxa"/>
          </w:tcPr>
          <w:p w14:paraId="01436831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0B341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D369C4A">
            <w:r>
              <w:rPr>
                <w:sz w:val="18"/>
              </w:rPr>
              <w:t>指标5-①：多目标关系</w:t>
            </w:r>
          </w:p>
        </w:tc>
        <w:tc>
          <w:tcPr>
            <w:tcW w:w="4841" w:type="dxa"/>
          </w:tcPr>
          <w:p w14:paraId="0D8CA6C9">
            <w:r>
              <w:rPr>
                <w:sz w:val="18"/>
              </w:rPr>
              <w:t>事件分析模块：知识图谱节点-连线关系展示，悬停邻居高亮</w:t>
            </w:r>
          </w:p>
        </w:tc>
        <w:tc>
          <w:tcPr>
            <w:tcW w:w="1387" w:type="dxa"/>
          </w:tcPr>
          <w:p w14:paraId="1AABF40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2923E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1D0F9863">
            <w:r>
              <w:rPr>
                <w:sz w:val="18"/>
              </w:rPr>
              <w:t>指标5-②：时空规律</w:t>
            </w:r>
          </w:p>
        </w:tc>
        <w:tc>
          <w:tcPr>
            <w:tcW w:w="4841" w:type="dxa"/>
          </w:tcPr>
          <w:p w14:paraId="7E29CD02">
            <w:r>
              <w:rPr>
                <w:sz w:val="18"/>
              </w:rPr>
              <w:t>船舶航迹模块：GT/Pred空间对比+红色偏移线，RMSE Spatial/Temporal双维度误差</w:t>
            </w:r>
          </w:p>
        </w:tc>
        <w:tc>
          <w:tcPr>
            <w:tcW w:w="1387" w:type="dxa"/>
          </w:tcPr>
          <w:p w14:paraId="156808DC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64D3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3FA8BFA">
            <w:r>
              <w:rPr>
                <w:sz w:val="18"/>
              </w:rPr>
              <w:t>指标5-③：目标行为轨迹</w:t>
            </w:r>
          </w:p>
        </w:tc>
        <w:tc>
          <w:tcPr>
            <w:tcW w:w="4841" w:type="dxa"/>
          </w:tcPr>
          <w:p w14:paraId="3A8A7502">
            <w:r>
              <w:rPr>
                <w:sz w:val="18"/>
              </w:rPr>
              <w:t>船舶航迹模块：航迹动画沿线推进，动态展示完整行为轨迹</w:t>
            </w:r>
          </w:p>
        </w:tc>
        <w:tc>
          <w:tcPr>
            <w:tcW w:w="1387" w:type="dxa"/>
          </w:tcPr>
          <w:p w14:paraId="5B4057F1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05550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3C433D8">
            <w:r>
              <w:rPr>
                <w:sz w:val="18"/>
              </w:rPr>
              <w:t>指标5-④：跨视频时空关联证据链</w:t>
            </w:r>
          </w:p>
        </w:tc>
        <w:tc>
          <w:tcPr>
            <w:tcW w:w="4841" w:type="dxa"/>
          </w:tcPr>
          <w:p w14:paraId="1087D4C5">
            <w:r>
              <w:rPr>
                <w:sz w:val="18"/>
              </w:rPr>
              <w:t>视频理解模块：跨视频目标关联图存储与查询（Neo4j）；</w:t>
            </w:r>
          </w:p>
        </w:tc>
        <w:tc>
          <w:tcPr>
            <w:tcW w:w="1387" w:type="dxa"/>
          </w:tcPr>
          <w:p w14:paraId="0F7896FA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4E758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63FE0FFE">
            <w:r>
              <w:rPr>
                <w:sz w:val="18"/>
              </w:rPr>
              <w:t>指标5-⑤：目标行为属性</w:t>
            </w:r>
          </w:p>
        </w:tc>
        <w:tc>
          <w:tcPr>
            <w:tcW w:w="4841" w:type="dxa"/>
          </w:tcPr>
          <w:p w14:paraId="31F489B2">
            <w:r>
              <w:rPr>
                <w:sz w:val="18"/>
              </w:rPr>
              <w:t>船舶航迹模块：意图面板（分布+主导意图+百分比），航迹点经纬度/时间属性</w:t>
            </w:r>
          </w:p>
        </w:tc>
        <w:tc>
          <w:tcPr>
            <w:tcW w:w="1387" w:type="dxa"/>
          </w:tcPr>
          <w:p w14:paraId="62D8AF02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0700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2C11D7A3">
            <w:r>
              <w:rPr>
                <w:sz w:val="18"/>
              </w:rPr>
              <w:t>指标5-⑥：事件时序阶段信息</w:t>
            </w:r>
          </w:p>
        </w:tc>
        <w:tc>
          <w:tcPr>
            <w:tcW w:w="4841" w:type="dxa"/>
          </w:tcPr>
          <w:p w14:paraId="6A434259">
            <w:r>
              <w:rPr>
                <w:sz w:val="18"/>
              </w:rPr>
              <w:t>事件分析模块：事件日期倒序列表+等级标签+突发标记+因果链日期关联</w:t>
            </w:r>
          </w:p>
        </w:tc>
        <w:tc>
          <w:tcPr>
            <w:tcW w:w="1387" w:type="dxa"/>
          </w:tcPr>
          <w:p w14:paraId="119A5054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7D9BA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54BBC8E7">
            <w:r>
              <w:rPr>
                <w:sz w:val="18"/>
              </w:rPr>
              <w:t>指标6-①：时间维度</w:t>
            </w:r>
          </w:p>
        </w:tc>
        <w:tc>
          <w:tcPr>
            <w:tcW w:w="4841" w:type="dxa"/>
          </w:tcPr>
          <w:p w14:paraId="33DAB290">
            <w:r>
              <w:rPr>
                <w:sz w:val="18"/>
              </w:rPr>
              <w:t>船舶航迹模块：航迹时长、动画时间轴；事件分析模块：事件日期、因果链时序</w:t>
            </w:r>
          </w:p>
        </w:tc>
        <w:tc>
          <w:tcPr>
            <w:tcW w:w="1387" w:type="dxa"/>
          </w:tcPr>
          <w:p w14:paraId="1488C2BD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5DBA7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16025376">
            <w:r>
              <w:rPr>
                <w:sz w:val="18"/>
              </w:rPr>
              <w:t>指标6-②：空间维度</w:t>
            </w:r>
          </w:p>
        </w:tc>
        <w:tc>
          <w:tcPr>
            <w:tcW w:w="4841" w:type="dxa"/>
          </w:tcPr>
          <w:p w14:paraId="580EE6AE">
            <w:r>
              <w:rPr>
                <w:sz w:val="18"/>
              </w:rPr>
              <w:t>船舶航迹模块：轨迹空间分布、全局概览；事件分析模块：事件地理位置标注、聚类空间分布</w:t>
            </w:r>
          </w:p>
        </w:tc>
        <w:tc>
          <w:tcPr>
            <w:tcW w:w="1387" w:type="dxa"/>
          </w:tcPr>
          <w:p w14:paraId="7C7D3E78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13568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0B139869">
            <w:r>
              <w:rPr>
                <w:sz w:val="18"/>
              </w:rPr>
              <w:t>指标6-③：目标维度</w:t>
            </w:r>
          </w:p>
        </w:tc>
        <w:tc>
          <w:tcPr>
            <w:tcW w:w="4841" w:type="dxa"/>
          </w:tcPr>
          <w:p w14:paraId="3C9DC691">
            <w:r>
              <w:rPr>
                <w:sz w:val="18"/>
              </w:rPr>
              <w:t>船舶航迹模块：轨迹编号、模型类型、目标意图；事件分析模块：事件类型分类</w:t>
            </w:r>
          </w:p>
        </w:tc>
        <w:tc>
          <w:tcPr>
            <w:tcW w:w="1387" w:type="dxa"/>
          </w:tcPr>
          <w:p w14:paraId="2CE95731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464F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5A9C27CF">
            <w:r>
              <w:rPr>
                <w:sz w:val="18"/>
              </w:rPr>
              <w:t>指标6-④：标签维度</w:t>
            </w:r>
          </w:p>
        </w:tc>
        <w:tc>
          <w:tcPr>
            <w:tcW w:w="4841" w:type="dxa"/>
          </w:tcPr>
          <w:p w14:paraId="4298E64F">
            <w:r>
              <w:rPr>
                <w:sz w:val="18"/>
              </w:rPr>
              <w:t>金融舆情模块：黑嘴分类标签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sz w:val="18"/>
              </w:rPr>
              <w:t>事件分析模块：关键词标签云、权重条形图、等级标签</w:t>
            </w:r>
          </w:p>
        </w:tc>
        <w:tc>
          <w:tcPr>
            <w:tcW w:w="1387" w:type="dxa"/>
          </w:tcPr>
          <w:p w14:paraId="5155F757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01D5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7336663C">
            <w:r>
              <w:rPr>
                <w:sz w:val="18"/>
              </w:rPr>
              <w:t>指标6-⑤：分类维度</w:t>
            </w:r>
          </w:p>
        </w:tc>
        <w:tc>
          <w:tcPr>
            <w:tcW w:w="4841" w:type="dxa"/>
          </w:tcPr>
          <w:p w14:paraId="654DE408">
            <w:r>
              <w:rPr>
                <w:sz w:val="18"/>
              </w:rPr>
              <w:t>船舶航迹模块：4种模型分类；事件分析模块：3区域分类+5意图分类</w:t>
            </w:r>
          </w:p>
        </w:tc>
        <w:tc>
          <w:tcPr>
            <w:tcW w:w="1387" w:type="dxa"/>
          </w:tcPr>
          <w:p w14:paraId="4E99519D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3C732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4C2D250C">
            <w:r>
              <w:rPr>
                <w:sz w:val="18"/>
              </w:rPr>
              <w:t>指标6-⑥：关联维度</w:t>
            </w:r>
          </w:p>
        </w:tc>
        <w:tc>
          <w:tcPr>
            <w:tcW w:w="4841" w:type="dxa"/>
          </w:tcPr>
          <w:p w14:paraId="4375A5DD">
            <w:r>
              <w:rPr>
                <w:sz w:val="18"/>
              </w:rPr>
              <w:t>事件分析模块：知识图谱（跨时空关联关系图）、因果链（多目标关联）</w:t>
            </w:r>
          </w:p>
        </w:tc>
        <w:tc>
          <w:tcPr>
            <w:tcW w:w="1387" w:type="dxa"/>
          </w:tcPr>
          <w:p w14:paraId="1B9F0032"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 w14:paraId="5CD4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 w14:paraId="74ED1FAB">
            <w:r>
              <w:rPr>
                <w:sz w:val="18"/>
              </w:rPr>
              <w:t>指标6-⑦：事件维度</w:t>
            </w:r>
          </w:p>
        </w:tc>
        <w:tc>
          <w:tcPr>
            <w:tcW w:w="4841" w:type="dxa"/>
          </w:tcPr>
          <w:p w14:paraId="3E3472A2">
            <w:r>
              <w:rPr>
                <w:sz w:val="18"/>
              </w:rPr>
              <w:t>金融舆情模块：事件检测与要素抽取</w:t>
            </w:r>
            <w:r>
              <w:rPr>
                <w:rFonts w:hint="eastAsia"/>
                <w:sz w:val="18"/>
                <w:lang w:eastAsia="zh-CN"/>
              </w:rPr>
              <w:t>；</w:t>
            </w:r>
            <w:r>
              <w:rPr>
                <w:sz w:val="18"/>
              </w:rPr>
              <w:t>事件分析模块：事件结构化摘要+关键词+聚类可视化</w:t>
            </w:r>
          </w:p>
        </w:tc>
        <w:tc>
          <w:tcPr>
            <w:tcW w:w="1387" w:type="dxa"/>
          </w:tcPr>
          <w:p w14:paraId="4F95DB54">
            <w:pPr>
              <w:jc w:val="center"/>
            </w:pPr>
            <w:r>
              <w:rPr>
                <w:sz w:val="18"/>
              </w:rPr>
              <w:t>✓</w:t>
            </w:r>
          </w:p>
        </w:tc>
      </w:tr>
    </w:tbl>
    <w:p w14:paraId="4D138314"/>
    <w:p w14:paraId="59DD73E2">
      <w:pPr>
        <w:pStyle w:val="6"/>
        <w:ind w:left="726" w:hanging="726" w:hangingChars="241"/>
      </w:pPr>
      <w:r>
        <w:rPr>
          <w:rFonts w:hint="eastAsia"/>
        </w:rPr>
        <w:t>性能测试指标</w:t>
      </w:r>
    </w:p>
    <w:p w14:paraId="1FB39964">
      <w:pPr>
        <w:pStyle w:val="4"/>
        <w:ind w:firstLine="240"/>
        <w:rPr>
          <w:color w:val="FF0000"/>
        </w:rPr>
      </w:pPr>
      <w:r>
        <w:rPr>
          <w:rFonts w:hint="eastAsia"/>
        </w:rPr>
        <w:t>本次测试的性能测试依据为：各子系统技术指标中的性能相关要求。</w:t>
      </w:r>
    </w:p>
    <w:p w14:paraId="48106792">
      <w:pPr>
        <w:pStyle w:val="4"/>
        <w:ind w:firstLine="240"/>
        <w:rPr>
          <w:color w:val="FF0000"/>
        </w:rPr>
      </w:pPr>
      <w:r>
        <w:rPr>
          <w:rFonts w:hint="eastAsia"/>
        </w:rPr>
        <w:t>由此测试依据文件归纳整理的性能指标为：</w:t>
      </w:r>
    </w:p>
    <w:p w14:paraId="13CBA3FC">
      <w:r>
        <w:t>船舶航迹与事件分析系统：知识图谱渲染≤1秒、因果链计算≤1秒、航迹切换≤500ms、事件面板≤500ms</w:t>
      </w:r>
    </w:p>
    <w:p w14:paraId="76899288">
      <w:r>
        <w:t>金融舆情系统：事件检测≤5秒、舆情入库≤20分钟</w:t>
      </w:r>
    </w:p>
    <w:p w14:paraId="7DE8E108">
      <w:r>
        <w:t>视频智能理解系统：视频分析≤30秒/5min、思维导图渲染≤1秒/100节点</w:t>
      </w:r>
    </w:p>
    <w:p w14:paraId="6360CDA8">
      <w:r>
        <w:t>医疗事件可解释性系统：可解释性结果生成≤3秒</w:t>
      </w:r>
    </w:p>
    <w:p w14:paraId="38622880">
      <w:pPr>
        <w:pStyle w:val="4"/>
        <w:ind w:firstLine="240"/>
        <w:rPr>
          <w:color w:val="FF0000"/>
        </w:rPr>
      </w:pPr>
    </w:p>
    <w:p w14:paraId="28B895E3">
      <w:pPr>
        <w:pStyle w:val="6"/>
        <w:ind w:left="726" w:hanging="726" w:hangingChars="241"/>
      </w:pPr>
      <w:r>
        <w:t>测试地址</w:t>
      </w:r>
      <w:r>
        <w:rPr>
          <w:rFonts w:hint="eastAsia"/>
        </w:rPr>
        <w:t>和测试账号（管理员、业务员等）</w:t>
      </w:r>
    </w:p>
    <w:p w14:paraId="5591B817">
      <w:pPr>
        <w:rPr>
          <w:color w:val="auto"/>
        </w:rPr>
      </w:pPr>
      <w:r>
        <w:rPr>
          <w:rFonts w:hint="eastAsia"/>
          <w:color w:val="auto"/>
        </w:rPr>
        <w:t>内网：http://localhost:5173（无需账号密码）</w:t>
      </w:r>
    </w:p>
    <w:p w14:paraId="5250344E">
      <w:pPr>
        <w:rPr>
          <w:color w:val="auto"/>
        </w:rPr>
      </w:pPr>
      <w:r>
        <w:rPr>
          <w:rFonts w:hint="eastAsia"/>
          <w:color w:val="auto"/>
        </w:rPr>
        <w:t>外网：待部署</w:t>
      </w:r>
    </w:p>
    <w:p w14:paraId="69F36807">
      <w:pPr>
        <w:rPr>
          <w:color w:val="FF0000"/>
        </w:rPr>
      </w:pPr>
    </w:p>
    <w:p w14:paraId="0600602F">
      <w:pPr>
        <w:rPr>
          <w:color w:val="FF0000"/>
        </w:rPr>
      </w:pPr>
    </w:p>
    <w:p w14:paraId="5776A0CC">
      <w:pPr>
        <w:pStyle w:val="6"/>
        <w:ind w:left="726" w:hanging="726" w:hangingChars="241"/>
      </w:pPr>
      <w:r>
        <w:rPr>
          <w:rFonts w:hint="eastAsia"/>
        </w:rPr>
        <w:t>开发工具：（需填写名称和版本）</w:t>
      </w:r>
    </w:p>
    <w:p w14:paraId="7D039503">
      <w:pPr>
        <w:bidi w:val="0"/>
      </w:pPr>
      <w:r>
        <w:rPr>
          <w:rFonts w:hint="eastAsia"/>
        </w:rPr>
        <w:t>前端：VS Code+Vite 6.0+TypeScript 5.7+MapLibre GL+deck.gl 9.1+D3.js 7.9；后端：Python 3.10+FastAPI+PyTorch+Transformers</w:t>
      </w:r>
    </w:p>
    <w:p w14:paraId="0D788B4E">
      <w:pPr>
        <w:pStyle w:val="6"/>
        <w:ind w:left="726" w:hanging="726" w:hangingChars="241"/>
      </w:pPr>
      <w:r>
        <w:rPr>
          <w:rFonts w:hint="eastAsia"/>
        </w:rPr>
        <w:t>日志</w:t>
      </w:r>
    </w:p>
    <w:p w14:paraId="6DB48A9F">
      <w:pPr>
        <w:rPr>
          <w:rFonts w:hint="eastAsia"/>
        </w:rPr>
      </w:pPr>
      <w:r>
        <w:rPr>
          <w:rFonts w:hint="eastAsia"/>
        </w:rPr>
        <w:t>有操作日志；前端Console输出，后端记录在应用日志文件中。</w:t>
      </w:r>
    </w:p>
    <w:p w14:paraId="4236E8DA">
      <w:r>
        <w:rPr>
          <w:rFonts w:hint="eastAsia"/>
        </w:rPr>
        <w:t>有系统日志；前端F12 Console，后端日志目录，文本日志格式。</w:t>
      </w:r>
    </w:p>
    <w:p w14:paraId="4F8FCD09">
      <w:pPr>
        <w:rPr>
          <w:color w:val="FF0000"/>
          <w:lang w:eastAsia="zh-Hans"/>
        </w:rPr>
      </w:pPr>
    </w:p>
    <w:p w14:paraId="5AB9A3F1">
      <w:pPr>
        <w:rPr>
          <w:rFonts w:hint="eastAsia"/>
        </w:rPr>
      </w:pPr>
    </w:p>
    <w:p w14:paraId="1ED32DF1">
      <w:pPr>
        <w:pStyle w:val="6"/>
        <w:ind w:left="726" w:hanging="726" w:hangingChars="241"/>
      </w:pPr>
      <w:r>
        <w:rPr>
          <w:rFonts w:hint="eastAsia"/>
        </w:rPr>
        <w:t>数据备份机制</w:t>
      </w:r>
    </w:p>
    <w:p w14:paraId="269644C7">
      <w:pPr>
        <w:rPr>
          <w:rFonts w:hint="eastAsia"/>
        </w:rPr>
      </w:pPr>
      <w:r>
        <w:rPr>
          <w:rFonts w:hint="eastAsia"/>
        </w:rPr>
        <w:t>数据备份：静态数据Git版本控制，每日推远程仓库；数据库自带备份定期全量备份。</w:t>
      </w:r>
    </w:p>
    <w:p w14:paraId="6DD9520B">
      <w:pPr>
        <w:rPr>
          <w:color w:val="auto"/>
        </w:rPr>
      </w:pPr>
      <w:r>
        <w:rPr>
          <w:rFonts w:hint="eastAsia"/>
          <w:color w:val="auto"/>
        </w:rPr>
        <w:t>系统：Git仓库实现代码+数据统一版本管理与备份。</w:t>
      </w:r>
    </w:p>
    <w:p w14:paraId="452D6256">
      <w:pPr>
        <w:rPr>
          <w:color w:val="auto"/>
        </w:rPr>
      </w:pPr>
      <w:r>
        <w:rPr>
          <w:rFonts w:hint="eastAsia"/>
          <w:color w:val="auto"/>
        </w:rPr>
        <w:t>通过Git远程仓库实现异地备份。</w:t>
      </w:r>
    </w:p>
    <w:p w14:paraId="79225E45">
      <w:pPr>
        <w:pStyle w:val="6"/>
        <w:ind w:left="726" w:hanging="726" w:hangingChars="241"/>
      </w:pPr>
      <w:r>
        <w:rPr>
          <w:rFonts w:hint="eastAsia"/>
        </w:rPr>
        <w:t>版本更新</w:t>
      </w:r>
    </w:p>
    <w:p w14:paraId="368785E3">
      <w:pPr>
        <w:rPr>
          <w:rFonts w:hint="eastAsia"/>
        </w:rPr>
      </w:pPr>
      <w:r>
        <w:rPr>
          <w:rFonts w:hint="eastAsia"/>
        </w:rPr>
        <w:t>软件版本更新：手动（npm build+部署脚本）</w:t>
      </w:r>
    </w:p>
    <w:p w14:paraId="08282305">
      <w:pPr>
        <w:rPr>
          <w:rFonts w:hint="eastAsia"/>
        </w:rPr>
      </w:pPr>
      <w:r>
        <w:rPr>
          <w:rFonts w:hint="eastAsia"/>
        </w:rPr>
        <w:t>数据更新：手动（更新数据文件后重新构建）</w:t>
      </w:r>
    </w:p>
    <w:p w14:paraId="06D42A39"/>
    <w:p w14:paraId="1464710D">
      <w:pPr>
        <w:pStyle w:val="6"/>
        <w:ind w:left="726" w:hanging="726" w:hangingChars="241"/>
      </w:pPr>
      <w:r>
        <w:rPr>
          <w:rFonts w:hint="eastAsia"/>
        </w:rPr>
        <w:t>开发单位信息</w:t>
      </w:r>
    </w:p>
    <w:p w14:paraId="6C51B6DE">
      <w:r>
        <w:rPr>
          <w:rFonts w:hint="eastAsia"/>
        </w:rPr>
        <w:t>开发方全称：华东师范大学计算机科学与技术学院</w:t>
      </w:r>
    </w:p>
    <w:p w14:paraId="15E156DD">
      <w:r>
        <w:rPr>
          <w:rFonts w:hint="eastAsia"/>
        </w:rPr>
        <w:t>地址：上海市普陀区中山北路3663号</w:t>
      </w:r>
    </w:p>
    <w:p w14:paraId="00CE2BA3"/>
    <w:p w14:paraId="006CCD68">
      <w:pPr>
        <w:pStyle w:val="6"/>
        <w:ind w:left="726" w:hanging="726" w:hangingChars="241"/>
      </w:pPr>
      <w:bookmarkStart w:id="5" w:name="_Toc441501948"/>
      <w:bookmarkStart w:id="6" w:name="_Toc464580033"/>
      <w:bookmarkStart w:id="7" w:name="_Toc470806823"/>
      <w:bookmarkStart w:id="8" w:name="_Toc496687629"/>
      <w:bookmarkStart w:id="9" w:name="_Toc444514920"/>
      <w:bookmarkStart w:id="10" w:name="_Toc437113288"/>
      <w:bookmarkStart w:id="11" w:name="_Toc448930186"/>
      <w:bookmarkStart w:id="12" w:name="_Toc457827321"/>
      <w:bookmarkStart w:id="13" w:name="_Toc438464059"/>
      <w:bookmarkStart w:id="14" w:name="_Toc470811030"/>
      <w:bookmarkStart w:id="15" w:name="_Toc484523859"/>
      <w:r>
        <w:rPr>
          <w:rFonts w:hint="eastAsia"/>
        </w:rPr>
        <w:t>验收单位</w:t>
      </w:r>
    </w:p>
    <w:p w14:paraId="6910C34E">
      <w:pPr>
        <w:rPr>
          <w:color w:val="FF0000"/>
        </w:rPr>
      </w:pPr>
      <w:r>
        <w:rPr>
          <w:rFonts w:hint="eastAsia"/>
        </w:rPr>
        <w:t>验收单位：自主验收</w:t>
      </w:r>
    </w:p>
    <w:p w14:paraId="43217956">
      <w:pPr>
        <w:rPr>
          <w:color w:val="FF0000"/>
        </w:rPr>
      </w:pPr>
    </w:p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60C306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 Neue">
    <w:altName w:val="Segoe U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KSOFCD8F103D">
    <w:panose1 w:val="020B0502040204020203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C2C7C"/>
    <w:multiLevelType w:val="multilevel"/>
    <w:tmpl w:val="321C2C7C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6"/>
      <w:lvlText w:val="%1.%2"/>
      <w:lvlJc w:val="left"/>
      <w:pPr>
        <w:ind w:left="576" w:hanging="576"/>
      </w:pPr>
    </w:lvl>
    <w:lvl w:ilvl="2" w:tentative="0">
      <w:start w:val="1"/>
      <w:numFmt w:val="decimal"/>
      <w:pStyle w:val="7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8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9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10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4E14"/>
    <w:rsid w:val="00026096"/>
    <w:rsid w:val="00037CF2"/>
    <w:rsid w:val="0004037A"/>
    <w:rsid w:val="00041330"/>
    <w:rsid w:val="00045B6F"/>
    <w:rsid w:val="00057DC5"/>
    <w:rsid w:val="00072E12"/>
    <w:rsid w:val="00081614"/>
    <w:rsid w:val="000819B4"/>
    <w:rsid w:val="000852EC"/>
    <w:rsid w:val="00154D72"/>
    <w:rsid w:val="0016679E"/>
    <w:rsid w:val="00177B0A"/>
    <w:rsid w:val="001828EB"/>
    <w:rsid w:val="001A232C"/>
    <w:rsid w:val="001A6AC6"/>
    <w:rsid w:val="001D4638"/>
    <w:rsid w:val="001E0A40"/>
    <w:rsid w:val="001E2212"/>
    <w:rsid w:val="002223E8"/>
    <w:rsid w:val="002542D5"/>
    <w:rsid w:val="002700AF"/>
    <w:rsid w:val="002A10FD"/>
    <w:rsid w:val="002B5A04"/>
    <w:rsid w:val="002C7956"/>
    <w:rsid w:val="002E778B"/>
    <w:rsid w:val="003052D9"/>
    <w:rsid w:val="00316C76"/>
    <w:rsid w:val="003D4B12"/>
    <w:rsid w:val="0042573B"/>
    <w:rsid w:val="00425F98"/>
    <w:rsid w:val="004269DD"/>
    <w:rsid w:val="004409A5"/>
    <w:rsid w:val="00442A41"/>
    <w:rsid w:val="00467738"/>
    <w:rsid w:val="00477D38"/>
    <w:rsid w:val="00477E94"/>
    <w:rsid w:val="00493A4A"/>
    <w:rsid w:val="004A12F4"/>
    <w:rsid w:val="004D23AE"/>
    <w:rsid w:val="004D4813"/>
    <w:rsid w:val="004E5D1F"/>
    <w:rsid w:val="00505546"/>
    <w:rsid w:val="0055185E"/>
    <w:rsid w:val="00560ACF"/>
    <w:rsid w:val="00572C0D"/>
    <w:rsid w:val="00591CB9"/>
    <w:rsid w:val="005A0928"/>
    <w:rsid w:val="005B3C44"/>
    <w:rsid w:val="005E612D"/>
    <w:rsid w:val="00604E14"/>
    <w:rsid w:val="0063543C"/>
    <w:rsid w:val="0064152F"/>
    <w:rsid w:val="00642182"/>
    <w:rsid w:val="00653A96"/>
    <w:rsid w:val="00667454"/>
    <w:rsid w:val="00691E2B"/>
    <w:rsid w:val="0069702E"/>
    <w:rsid w:val="006B2C8F"/>
    <w:rsid w:val="006B3480"/>
    <w:rsid w:val="006D57DE"/>
    <w:rsid w:val="00704FF2"/>
    <w:rsid w:val="00712D3C"/>
    <w:rsid w:val="00730564"/>
    <w:rsid w:val="00771618"/>
    <w:rsid w:val="007C7792"/>
    <w:rsid w:val="007F335C"/>
    <w:rsid w:val="00810221"/>
    <w:rsid w:val="0081324F"/>
    <w:rsid w:val="00881EA9"/>
    <w:rsid w:val="008872CE"/>
    <w:rsid w:val="008C40FE"/>
    <w:rsid w:val="008D0B35"/>
    <w:rsid w:val="008D43BE"/>
    <w:rsid w:val="008F118A"/>
    <w:rsid w:val="009327DE"/>
    <w:rsid w:val="009439C7"/>
    <w:rsid w:val="00952EFA"/>
    <w:rsid w:val="009619EB"/>
    <w:rsid w:val="009644C3"/>
    <w:rsid w:val="00974FA8"/>
    <w:rsid w:val="009C1CA5"/>
    <w:rsid w:val="00A22F67"/>
    <w:rsid w:val="00A43CB6"/>
    <w:rsid w:val="00A5697A"/>
    <w:rsid w:val="00A63F5C"/>
    <w:rsid w:val="00A93FA0"/>
    <w:rsid w:val="00A979B5"/>
    <w:rsid w:val="00AA7D35"/>
    <w:rsid w:val="00AB180D"/>
    <w:rsid w:val="00AC4B37"/>
    <w:rsid w:val="00AD43A2"/>
    <w:rsid w:val="00AF0E2E"/>
    <w:rsid w:val="00B240C6"/>
    <w:rsid w:val="00B36B28"/>
    <w:rsid w:val="00B8586F"/>
    <w:rsid w:val="00B922E4"/>
    <w:rsid w:val="00B92F45"/>
    <w:rsid w:val="00B95539"/>
    <w:rsid w:val="00BA5229"/>
    <w:rsid w:val="00BA6723"/>
    <w:rsid w:val="00BB1C8A"/>
    <w:rsid w:val="00BE056E"/>
    <w:rsid w:val="00C056C8"/>
    <w:rsid w:val="00C21775"/>
    <w:rsid w:val="00C3068E"/>
    <w:rsid w:val="00C46921"/>
    <w:rsid w:val="00C53130"/>
    <w:rsid w:val="00C739DF"/>
    <w:rsid w:val="00CC229A"/>
    <w:rsid w:val="00CE7DA2"/>
    <w:rsid w:val="00D20021"/>
    <w:rsid w:val="00D36459"/>
    <w:rsid w:val="00D50260"/>
    <w:rsid w:val="00D61DAC"/>
    <w:rsid w:val="00DA7644"/>
    <w:rsid w:val="00DD07E9"/>
    <w:rsid w:val="00DD1D0F"/>
    <w:rsid w:val="00E15064"/>
    <w:rsid w:val="00E21504"/>
    <w:rsid w:val="00E4346C"/>
    <w:rsid w:val="00E434EF"/>
    <w:rsid w:val="00E735B2"/>
    <w:rsid w:val="00EB18D8"/>
    <w:rsid w:val="00ED0C98"/>
    <w:rsid w:val="00EE49FA"/>
    <w:rsid w:val="00EE636A"/>
    <w:rsid w:val="00F44DEF"/>
    <w:rsid w:val="00F52D2D"/>
    <w:rsid w:val="00FA2322"/>
    <w:rsid w:val="00FE0605"/>
    <w:rsid w:val="00FF30A8"/>
    <w:rsid w:val="00FF326D"/>
    <w:rsid w:val="0160084E"/>
    <w:rsid w:val="04B84A13"/>
    <w:rsid w:val="090B136E"/>
    <w:rsid w:val="0A2F26B7"/>
    <w:rsid w:val="0B0E131B"/>
    <w:rsid w:val="0CA37841"/>
    <w:rsid w:val="0EAE7EF9"/>
    <w:rsid w:val="121D1E44"/>
    <w:rsid w:val="129A7E91"/>
    <w:rsid w:val="15817947"/>
    <w:rsid w:val="15F846A9"/>
    <w:rsid w:val="16337E88"/>
    <w:rsid w:val="19BA72A1"/>
    <w:rsid w:val="1E071E96"/>
    <w:rsid w:val="26D74138"/>
    <w:rsid w:val="2B193698"/>
    <w:rsid w:val="2D46629B"/>
    <w:rsid w:val="2DB6695D"/>
    <w:rsid w:val="33117DAC"/>
    <w:rsid w:val="3B0F5F1E"/>
    <w:rsid w:val="3BC268BC"/>
    <w:rsid w:val="40CD665F"/>
    <w:rsid w:val="44C24001"/>
    <w:rsid w:val="4E3E6DEE"/>
    <w:rsid w:val="4F2919FF"/>
    <w:rsid w:val="54705100"/>
    <w:rsid w:val="54B63AB8"/>
    <w:rsid w:val="5AB14415"/>
    <w:rsid w:val="5D335644"/>
    <w:rsid w:val="65577329"/>
    <w:rsid w:val="673EA0CD"/>
    <w:rsid w:val="693742EA"/>
    <w:rsid w:val="717D00A0"/>
    <w:rsid w:val="75E672A0"/>
    <w:rsid w:val="7C222469"/>
    <w:rsid w:val="7C7C5B04"/>
    <w:rsid w:val="7D2D16BC"/>
    <w:rsid w:val="7EE30820"/>
    <w:rsid w:val="FFFB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link w:val="26"/>
    <w:qFormat/>
    <w:uiPriority w:val="0"/>
    <w:pPr>
      <w:keepNext/>
      <w:keepLines/>
      <w:widowControl/>
      <w:numPr>
        <w:ilvl w:val="0"/>
        <w:numId w:val="1"/>
      </w:numPr>
      <w:spacing w:before="0" w:after="0" w:line="360" w:lineRule="auto"/>
      <w:jc w:val="left"/>
    </w:pPr>
    <w:rPr>
      <w:rFonts w:ascii="Times New Roman" w:hAnsi="Times New Roman" w:eastAsia="黑体"/>
      <w:bCs w:val="0"/>
      <w:kern w:val="44"/>
    </w:rPr>
  </w:style>
  <w:style w:type="paragraph" w:styleId="6">
    <w:name w:val="heading 2"/>
    <w:basedOn w:val="2"/>
    <w:next w:val="4"/>
    <w:link w:val="29"/>
    <w:qFormat/>
    <w:uiPriority w:val="0"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paragraph" w:styleId="7">
    <w:name w:val="heading 3"/>
    <w:basedOn w:val="1"/>
    <w:next w:val="4"/>
    <w:link w:val="30"/>
    <w:qFormat/>
    <w:uiPriority w:val="0"/>
    <w:pPr>
      <w:keepNext/>
      <w:keepLines/>
      <w:widowControl/>
      <w:numPr>
        <w:ilvl w:val="2"/>
        <w:numId w:val="1"/>
      </w:numPr>
      <w:adjustRightInd w:val="0"/>
      <w:snapToGrid w:val="0"/>
      <w:spacing w:before="100" w:beforeAutospacing="1" w:line="360" w:lineRule="auto"/>
      <w:jc w:val="left"/>
      <w:outlineLvl w:val="2"/>
    </w:pPr>
    <w:rPr>
      <w:b/>
      <w:bCs/>
      <w:sz w:val="28"/>
      <w:szCs w:val="28"/>
    </w:rPr>
  </w:style>
  <w:style w:type="paragraph" w:styleId="8">
    <w:name w:val="heading 4"/>
    <w:basedOn w:val="1"/>
    <w:next w:val="4"/>
    <w:link w:val="31"/>
    <w:qFormat/>
    <w:uiPriority w:val="0"/>
    <w:pPr>
      <w:keepNext/>
      <w:keepLines/>
      <w:numPr>
        <w:ilvl w:val="3"/>
        <w:numId w:val="1"/>
      </w:numPr>
      <w:spacing w:before="100" w:beforeAutospacing="1" w:line="360" w:lineRule="auto"/>
      <w:jc w:val="left"/>
      <w:outlineLvl w:val="3"/>
    </w:pPr>
    <w:rPr>
      <w:b/>
      <w:bCs/>
      <w:szCs w:val="28"/>
    </w:rPr>
  </w:style>
  <w:style w:type="paragraph" w:styleId="9">
    <w:name w:val="heading 5"/>
    <w:basedOn w:val="1"/>
    <w:next w:val="1"/>
    <w:link w:val="32"/>
    <w:qFormat/>
    <w:uiPriority w:val="0"/>
    <w:pPr>
      <w:keepNext/>
      <w:keepLines/>
      <w:numPr>
        <w:ilvl w:val="4"/>
        <w:numId w:val="1"/>
      </w:numPr>
      <w:spacing w:before="100" w:beforeAutospacing="1" w:line="360" w:lineRule="auto"/>
      <w:jc w:val="left"/>
      <w:outlineLvl w:val="4"/>
    </w:pPr>
    <w:rPr>
      <w:b/>
      <w:bCs/>
      <w:szCs w:val="28"/>
    </w:rPr>
  </w:style>
  <w:style w:type="paragraph" w:styleId="10">
    <w:name w:val="heading 6"/>
    <w:basedOn w:val="1"/>
    <w:next w:val="1"/>
    <w:link w:val="33"/>
    <w:qFormat/>
    <w:uiPriority w:val="0"/>
    <w:pPr>
      <w:keepNext/>
      <w:keepLines/>
      <w:numPr>
        <w:ilvl w:val="5"/>
        <w:numId w:val="1"/>
      </w:numPr>
      <w:spacing w:before="100" w:beforeAutospacing="1" w:line="360" w:lineRule="auto"/>
      <w:outlineLvl w:val="5"/>
    </w:pPr>
    <w:rPr>
      <w:b/>
      <w:bCs/>
    </w:rPr>
  </w:style>
  <w:style w:type="paragraph" w:styleId="11">
    <w:name w:val="heading 7"/>
    <w:basedOn w:val="1"/>
    <w:next w:val="1"/>
    <w:link w:val="34"/>
    <w:qFormat/>
    <w:uiPriority w:val="0"/>
    <w:pPr>
      <w:keepNext/>
      <w:keepLines/>
      <w:numPr>
        <w:ilvl w:val="6"/>
        <w:numId w:val="1"/>
      </w:numPr>
      <w:spacing w:before="100" w:beforeAutospacing="1" w:line="360" w:lineRule="auto"/>
      <w:outlineLvl w:val="6"/>
    </w:pPr>
    <w:rPr>
      <w:b/>
      <w:bCs/>
    </w:rPr>
  </w:style>
  <w:style w:type="paragraph" w:styleId="12">
    <w:name w:val="heading 8"/>
    <w:basedOn w:val="1"/>
    <w:next w:val="1"/>
    <w:link w:val="35"/>
    <w:qFormat/>
    <w:uiPriority w:val="0"/>
    <w:pPr>
      <w:keepNext/>
      <w:keepLines/>
      <w:numPr>
        <w:ilvl w:val="7"/>
        <w:numId w:val="1"/>
      </w:numPr>
      <w:spacing w:before="100" w:beforeAutospacing="1" w:line="360" w:lineRule="auto"/>
      <w:outlineLvl w:val="7"/>
    </w:pPr>
    <w:rPr>
      <w:b/>
    </w:rPr>
  </w:style>
  <w:style w:type="paragraph" w:styleId="13">
    <w:name w:val="heading 9"/>
    <w:basedOn w:val="1"/>
    <w:next w:val="1"/>
    <w:link w:val="36"/>
    <w:qFormat/>
    <w:uiPriority w:val="0"/>
    <w:pPr>
      <w:keepNext/>
      <w:keepLines/>
      <w:numPr>
        <w:ilvl w:val="8"/>
        <w:numId w:val="1"/>
      </w:numPr>
      <w:spacing w:before="100" w:beforeAutospacing="1" w:line="360" w:lineRule="auto"/>
      <w:outlineLvl w:val="8"/>
    </w:pPr>
    <w:rPr>
      <w:b/>
      <w:szCs w:val="21"/>
    </w:rPr>
  </w:style>
  <w:style w:type="character" w:default="1" w:styleId="21">
    <w:name w:val="Default Paragraph Font"/>
    <w:unhideWhenUsed/>
    <w:qFormat/>
    <w:uiPriority w:val="1"/>
  </w:style>
  <w:style w:type="table" w:default="1" w:styleId="1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2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Body Text First Indent"/>
    <w:basedOn w:val="5"/>
    <w:link w:val="28"/>
    <w:unhideWhenUsed/>
    <w:qFormat/>
    <w:uiPriority w:val="99"/>
    <w:pPr>
      <w:ind w:firstLine="420" w:firstLineChars="100"/>
    </w:pPr>
  </w:style>
  <w:style w:type="paragraph" w:styleId="5">
    <w:name w:val="Body Text"/>
    <w:basedOn w:val="1"/>
    <w:link w:val="27"/>
    <w:unhideWhenUsed/>
    <w:qFormat/>
    <w:uiPriority w:val="99"/>
    <w:pPr>
      <w:spacing w:after="120"/>
    </w:pPr>
  </w:style>
  <w:style w:type="paragraph" w:styleId="14">
    <w:name w:val="annotation text"/>
    <w:basedOn w:val="1"/>
    <w:link w:val="37"/>
    <w:unhideWhenUsed/>
    <w:qFormat/>
    <w:uiPriority w:val="99"/>
    <w:pPr>
      <w:jc w:val="left"/>
    </w:pPr>
  </w:style>
  <w:style w:type="paragraph" w:styleId="15">
    <w:name w:val="Balloon Text"/>
    <w:basedOn w:val="1"/>
    <w:link w:val="38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annotation subject"/>
    <w:basedOn w:val="14"/>
    <w:next w:val="14"/>
    <w:link w:val="41"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Emphasis"/>
    <w:qFormat/>
    <w:uiPriority w:val="20"/>
    <w:rPr>
      <w:i/>
      <w:iCs/>
    </w:rPr>
  </w:style>
  <w:style w:type="character" w:styleId="23">
    <w:name w:val="Hyperlink"/>
    <w:unhideWhenUsed/>
    <w:qFormat/>
    <w:uiPriority w:val="99"/>
    <w:rPr>
      <w:color w:val="0000FF"/>
      <w:u w:val="single"/>
    </w:rPr>
  </w:style>
  <w:style w:type="character" w:styleId="24">
    <w:name w:val="annotation reference"/>
    <w:unhideWhenUsed/>
    <w:qFormat/>
    <w:uiPriority w:val="99"/>
    <w:rPr>
      <w:sz w:val="21"/>
      <w:szCs w:val="21"/>
    </w:rPr>
  </w:style>
  <w:style w:type="character" w:customStyle="1" w:styleId="25">
    <w:name w:val="标题 字符"/>
    <w:link w:val="3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6">
    <w:name w:val="标题 1 字符"/>
    <w:link w:val="2"/>
    <w:qFormat/>
    <w:uiPriority w:val="0"/>
    <w:rPr>
      <w:rFonts w:ascii="Times New Roman" w:hAnsi="Times New Roman" w:eastAsia="黑体" w:cs="Times New Roman"/>
      <w:b/>
      <w:kern w:val="44"/>
      <w:sz w:val="32"/>
      <w:szCs w:val="32"/>
    </w:rPr>
  </w:style>
  <w:style w:type="character" w:customStyle="1" w:styleId="27">
    <w:name w:val="正文文本 字符"/>
    <w:link w:val="5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8">
    <w:name w:val="正文文本首行缩进 字符"/>
    <w:link w:val="4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9">
    <w:name w:val="标题 2 字符"/>
    <w:link w:val="6"/>
    <w:qFormat/>
    <w:uiPriority w:val="0"/>
    <w:rPr>
      <w:rFonts w:ascii="Times New Roman" w:hAnsi="Times New Roman" w:eastAsia="黑体" w:cs="Times New Roman"/>
      <w:b/>
      <w:bCs/>
      <w:kern w:val="44"/>
      <w:sz w:val="30"/>
      <w:szCs w:val="32"/>
    </w:rPr>
  </w:style>
  <w:style w:type="character" w:customStyle="1" w:styleId="30">
    <w:name w:val="标题 3 字符"/>
    <w:link w:val="7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标题 4 字符"/>
    <w:link w:val="8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2">
    <w:name w:val="标题 5 字符"/>
    <w:link w:val="9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3">
    <w:name w:val="标题 6 字符"/>
    <w:link w:val="10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4">
    <w:name w:val="标题 7 字符"/>
    <w:link w:val="11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5">
    <w:name w:val="标题 8 字符"/>
    <w:link w:val="12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character" w:customStyle="1" w:styleId="36">
    <w:name w:val="标题 9 字符"/>
    <w:link w:val="13"/>
    <w:qFormat/>
    <w:uiPriority w:val="0"/>
    <w:rPr>
      <w:rFonts w:ascii="Times New Roman" w:hAnsi="Times New Roman" w:eastAsia="宋体" w:cs="Times New Roman"/>
      <w:b/>
      <w:sz w:val="24"/>
      <w:szCs w:val="21"/>
    </w:rPr>
  </w:style>
  <w:style w:type="character" w:customStyle="1" w:styleId="37">
    <w:name w:val="批注文字 字符"/>
    <w:link w:val="14"/>
    <w:semiHidden/>
    <w:qFormat/>
    <w:uiPriority w:val="99"/>
    <w:rPr>
      <w:kern w:val="2"/>
      <w:sz w:val="24"/>
      <w:szCs w:val="24"/>
    </w:rPr>
  </w:style>
  <w:style w:type="character" w:customStyle="1" w:styleId="38">
    <w:name w:val="批注框文本 字符"/>
    <w:link w:val="1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页脚 字符"/>
    <w:link w:val="1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0">
    <w:name w:val="页眉 字符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1">
    <w:name w:val="批注主题 字符"/>
    <w:link w:val="18"/>
    <w:semiHidden/>
    <w:qFormat/>
    <w:uiPriority w:val="99"/>
    <w:rPr>
      <w:b/>
      <w:bCs/>
      <w:kern w:val="2"/>
      <w:sz w:val="24"/>
      <w:szCs w:val="24"/>
    </w:rPr>
  </w:style>
  <w:style w:type="character" w:customStyle="1" w:styleId="42">
    <w:name w:val="widgetxconsoleclouddbdescription-marginleft-2hx-o"/>
    <w:qFormat/>
    <w:uiPriority w:val="0"/>
  </w:style>
  <w:style w:type="character" w:customStyle="1" w:styleId="43">
    <w:name w:val="Unresolved Mention"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标题 2 Char"/>
    <w:semiHidden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paragraph" w:customStyle="1" w:styleId="45">
    <w:name w:val="表格文字"/>
    <w:basedOn w:val="1"/>
    <w:qFormat/>
    <w:uiPriority w:val="0"/>
    <w:pPr>
      <w:spacing w:before="60" w:line="288" w:lineRule="auto"/>
      <w:ind w:left="57" w:right="57"/>
    </w:pPr>
    <w:rPr>
      <w:szCs w:val="20"/>
    </w:rPr>
  </w:style>
  <w:style w:type="paragraph" w:customStyle="1" w:styleId="46">
    <w:name w:val="p1"/>
    <w:basedOn w:val="1"/>
    <w:qFormat/>
    <w:uiPriority w:val="0"/>
    <w:pPr>
      <w:jc w:val="center"/>
    </w:pPr>
    <w:rPr>
      <w:rFonts w:ascii="Helvetica Neue" w:hAnsi="Helvetica Neue" w:eastAsia="Helvetica Neue"/>
      <w:color w:val="000000"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1385</Words>
  <Characters>1467</Characters>
  <Lines>542</Lines>
  <Paragraphs>54</Paragraphs>
  <TotalTime>4</TotalTime>
  <ScaleCrop>false</ScaleCrop>
  <LinksUpToDate>false</LinksUpToDate>
  <CharactersWithSpaces>1487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2026-06-23T02:49:00Z</dcterms:created>
  <dc:creator>Joyce</dc:creator>
  <cp:lastModifiedBy>刘小懒星</cp:lastModifiedBy>
  <dcterms:modified xsi:type="dcterms:W3CDTF">2026-06-23T07:13:03Z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05111972E4564A52B3863074464BDC22_12</vt:lpwstr>
  </property>
</Properties>
</file>